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48" w:rsidRPr="005F5A48" w:rsidRDefault="005F5A48" w:rsidP="00604E5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5A48">
        <w:rPr>
          <w:rFonts w:ascii="Times New Roman" w:hAnsi="Times New Roman" w:cs="Times New Roman"/>
          <w:b/>
          <w:sz w:val="24"/>
          <w:szCs w:val="24"/>
          <w:lang w:val="en-US"/>
        </w:rPr>
        <w:t>Mock Case</w:t>
      </w:r>
    </w:p>
    <w:p w:rsidR="00604E59" w:rsidRDefault="00604E59" w:rsidP="00604E5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F5A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Directions to the </w:t>
      </w:r>
      <w:r w:rsidR="00C61255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5F5A48" w:rsidRPr="005F5A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articipants </w:t>
      </w:r>
    </w:p>
    <w:p w:rsidR="005F5A48" w:rsidRDefault="005F5A4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General </w:t>
      </w:r>
      <w:r w:rsidR="009C4025">
        <w:rPr>
          <w:rFonts w:ascii="Times New Roman" w:hAnsi="Times New Roman" w:cs="Times New Roman"/>
          <w:b/>
          <w:sz w:val="24"/>
          <w:szCs w:val="24"/>
          <w:lang w:val="en-US"/>
        </w:rPr>
        <w:t>comments: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140ED" w:rsidRPr="00870BC9" w:rsidRDefault="00E513B2" w:rsidP="00870BC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0BC9">
        <w:rPr>
          <w:rFonts w:ascii="Times New Roman" w:hAnsi="Times New Roman" w:cs="Times New Roman"/>
          <w:sz w:val="24"/>
          <w:szCs w:val="24"/>
          <w:lang w:val="en-US"/>
        </w:rPr>
        <w:t>The Case</w:t>
      </w:r>
      <w:r w:rsidR="001C15A2">
        <w:rPr>
          <w:rFonts w:ascii="Times New Roman" w:hAnsi="Times New Roman" w:cs="Times New Roman"/>
          <w:sz w:val="24"/>
          <w:szCs w:val="24"/>
          <w:lang w:val="en-US"/>
        </w:rPr>
        <w:t xml:space="preserve"> Materials</w:t>
      </w:r>
      <w:r w:rsidRPr="00870B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15A2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870B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7A34" w:rsidRPr="00870BC9">
        <w:rPr>
          <w:rFonts w:ascii="Times New Roman" w:hAnsi="Times New Roman" w:cs="Times New Roman"/>
          <w:sz w:val="24"/>
          <w:szCs w:val="24"/>
          <w:lang w:val="en-US"/>
        </w:rPr>
        <w:t>voluminous</w:t>
      </w:r>
      <w:r w:rsidR="006140ED" w:rsidRPr="00870BC9">
        <w:rPr>
          <w:rFonts w:ascii="Times New Roman" w:hAnsi="Times New Roman" w:cs="Times New Roman"/>
          <w:sz w:val="24"/>
          <w:szCs w:val="24"/>
          <w:lang w:val="en-US"/>
        </w:rPr>
        <w:t xml:space="preserve"> and require </w:t>
      </w:r>
      <w:r w:rsidR="006140ED" w:rsidRPr="00AC7E51">
        <w:rPr>
          <w:rFonts w:ascii="Times New Roman" w:hAnsi="Times New Roman" w:cs="Times New Roman"/>
          <w:sz w:val="24"/>
          <w:szCs w:val="24"/>
          <w:u w:val="single"/>
          <w:lang w:val="en-US"/>
        </w:rPr>
        <w:t>solid individual preparation in advance</w:t>
      </w:r>
      <w:r w:rsidR="006140ED" w:rsidRPr="00870BC9">
        <w:rPr>
          <w:rFonts w:ascii="Times New Roman" w:hAnsi="Times New Roman" w:cs="Times New Roman"/>
          <w:sz w:val="24"/>
          <w:szCs w:val="24"/>
          <w:lang w:val="en-US"/>
        </w:rPr>
        <w:t xml:space="preserve"> by each of the participants;</w:t>
      </w:r>
    </w:p>
    <w:p w:rsidR="00592C99" w:rsidRPr="00870BC9" w:rsidRDefault="006140ED" w:rsidP="00870BC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0BC9">
        <w:rPr>
          <w:rFonts w:ascii="Times New Roman" w:hAnsi="Times New Roman" w:cs="Times New Roman"/>
          <w:sz w:val="24"/>
          <w:szCs w:val="24"/>
          <w:lang w:val="en-US"/>
        </w:rPr>
        <w:t xml:space="preserve">The participants will be divided into and work in </w:t>
      </w:r>
      <w:r w:rsidRPr="00AC7E51">
        <w:rPr>
          <w:rFonts w:ascii="Times New Roman" w:hAnsi="Times New Roman" w:cs="Times New Roman"/>
          <w:sz w:val="24"/>
          <w:szCs w:val="24"/>
          <w:u w:val="single"/>
          <w:lang w:val="en-US"/>
        </w:rPr>
        <w:t>teams of</w:t>
      </w:r>
      <w:r w:rsidR="0059790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</w:t>
      </w:r>
      <w:r w:rsidRPr="00AC7E5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Claimant and</w:t>
      </w:r>
      <w:r w:rsidR="0059790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</w:t>
      </w:r>
      <w:r w:rsidRPr="00AC7E5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Respondent</w:t>
      </w:r>
      <w:r w:rsidRPr="00870BC9">
        <w:rPr>
          <w:rFonts w:ascii="Times New Roman" w:hAnsi="Times New Roman" w:cs="Times New Roman"/>
          <w:sz w:val="24"/>
          <w:szCs w:val="24"/>
          <w:lang w:val="en-US"/>
        </w:rPr>
        <w:t xml:space="preserve"> during the Arbitration School;</w:t>
      </w:r>
    </w:p>
    <w:p w:rsidR="005C1736" w:rsidRDefault="00592C99" w:rsidP="00870BC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7E51">
        <w:rPr>
          <w:rFonts w:ascii="Times New Roman" w:hAnsi="Times New Roman" w:cs="Times New Roman"/>
          <w:sz w:val="24"/>
          <w:szCs w:val="24"/>
          <w:u w:val="single"/>
          <w:lang w:val="en-US"/>
        </w:rPr>
        <w:t>The coaches</w:t>
      </w:r>
      <w:r w:rsidRPr="00870BC9">
        <w:rPr>
          <w:rFonts w:ascii="Times New Roman" w:hAnsi="Times New Roman" w:cs="Times New Roman"/>
          <w:sz w:val="24"/>
          <w:szCs w:val="24"/>
          <w:lang w:val="en-US"/>
        </w:rPr>
        <w:t xml:space="preserve"> will assist the teams during the Arbitration School, however success of each of the team will depend much on (i) </w:t>
      </w:r>
      <w:r w:rsidR="00870BC9" w:rsidRPr="00870BC9">
        <w:rPr>
          <w:rFonts w:ascii="Times New Roman" w:hAnsi="Times New Roman" w:cs="Times New Roman"/>
          <w:sz w:val="24"/>
          <w:szCs w:val="24"/>
          <w:lang w:val="en-US"/>
        </w:rPr>
        <w:t>individual preparatory work of each of team members done in advance of the Arbitration School</w:t>
      </w:r>
      <w:r w:rsidRPr="00870BC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70BC9" w:rsidRPr="00870BC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870BC9">
        <w:rPr>
          <w:rFonts w:ascii="Times New Roman" w:hAnsi="Times New Roman" w:cs="Times New Roman"/>
          <w:sz w:val="24"/>
          <w:szCs w:val="24"/>
          <w:lang w:val="en-US"/>
        </w:rPr>
        <w:t xml:space="preserve"> (ii)</w:t>
      </w:r>
      <w:r w:rsidR="00870BC9" w:rsidRPr="00870BC9">
        <w:rPr>
          <w:rFonts w:ascii="Times New Roman" w:hAnsi="Times New Roman" w:cs="Times New Roman"/>
          <w:sz w:val="24"/>
          <w:szCs w:val="24"/>
          <w:lang w:val="en-US"/>
        </w:rPr>
        <w:t xml:space="preserve"> readiness of the participants to work under time pressure and in a team during the Arbitration School</w:t>
      </w:r>
      <w:r w:rsidR="005C173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92C99" w:rsidRPr="00F40CBA" w:rsidRDefault="00F40CBA" w:rsidP="00870BC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7E51">
        <w:rPr>
          <w:rFonts w:ascii="Times New Roman" w:hAnsi="Times New Roman" w:cs="Times New Roman"/>
          <w:sz w:val="24"/>
          <w:szCs w:val="24"/>
          <w:lang w:val="en-US"/>
        </w:rPr>
        <w:t>No written documents</w:t>
      </w:r>
      <w:r w:rsidRPr="00F40CBA">
        <w:rPr>
          <w:rFonts w:ascii="Times New Roman" w:hAnsi="Times New Roman" w:cs="Times New Roman"/>
          <w:sz w:val="24"/>
          <w:szCs w:val="24"/>
          <w:lang w:val="en-US"/>
        </w:rPr>
        <w:t xml:space="preserve"> (e.g. Statement of Claim, Statement of Defense) are required to</w:t>
      </w:r>
      <w:r w:rsidR="005979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Pr="00F40CBA">
        <w:rPr>
          <w:rFonts w:ascii="Times New Roman" w:hAnsi="Times New Roman" w:cs="Times New Roman"/>
          <w:sz w:val="24"/>
          <w:szCs w:val="24"/>
          <w:lang w:val="en-US"/>
        </w:rPr>
        <w:t xml:space="preserve"> prepare</w:t>
      </w:r>
      <w:r w:rsidR="005979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40CBA">
        <w:rPr>
          <w:rFonts w:ascii="Times New Roman" w:hAnsi="Times New Roman" w:cs="Times New Roman"/>
          <w:sz w:val="24"/>
          <w:szCs w:val="24"/>
          <w:lang w:val="en-US"/>
        </w:rPr>
        <w:t xml:space="preserve"> by the teams during the Mock Case.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7E51">
        <w:rPr>
          <w:rFonts w:ascii="Times New Roman" w:hAnsi="Times New Roman" w:cs="Times New Roman"/>
          <w:sz w:val="24"/>
          <w:szCs w:val="24"/>
          <w:u w:val="single"/>
          <w:lang w:val="en-US"/>
        </w:rPr>
        <w:t>The focus will be made on oral presentation</w:t>
      </w:r>
      <w:r w:rsidRPr="00F40CBA">
        <w:rPr>
          <w:rFonts w:ascii="Times New Roman" w:hAnsi="Times New Roman" w:cs="Times New Roman"/>
          <w:sz w:val="24"/>
          <w:szCs w:val="24"/>
          <w:lang w:val="en-US"/>
        </w:rPr>
        <w:t xml:space="preserve"> of the case by each of the team</w:t>
      </w:r>
      <w:r w:rsidR="00AC7E5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0CB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979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F40CBA">
        <w:rPr>
          <w:rFonts w:ascii="Times New Roman" w:hAnsi="Times New Roman" w:cs="Times New Roman"/>
          <w:sz w:val="24"/>
          <w:szCs w:val="24"/>
          <w:lang w:val="en-US"/>
        </w:rPr>
        <w:t>Claimant and</w:t>
      </w:r>
      <w:r w:rsidR="005979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F40CBA">
        <w:rPr>
          <w:rFonts w:ascii="Times New Roman" w:hAnsi="Times New Roman" w:cs="Times New Roman"/>
          <w:sz w:val="24"/>
          <w:szCs w:val="24"/>
          <w:lang w:val="en-US"/>
        </w:rPr>
        <w:t xml:space="preserve"> Respondent) during the mock hearing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However, </w:t>
      </w:r>
      <w:r w:rsidR="00AC7E51">
        <w:rPr>
          <w:rFonts w:ascii="Times New Roman" w:hAnsi="Times New Roman" w:cs="Times New Roman"/>
          <w:sz w:val="24"/>
          <w:szCs w:val="24"/>
          <w:lang w:val="en-US"/>
        </w:rPr>
        <w:t xml:space="preserve">to prepare to the mock hearing the participants shall individually analyze </w:t>
      </w:r>
      <w:r w:rsidR="00597904">
        <w:rPr>
          <w:rFonts w:ascii="Times New Roman" w:hAnsi="Times New Roman" w:cs="Times New Roman"/>
          <w:sz w:val="24"/>
          <w:szCs w:val="24"/>
          <w:lang w:val="en-US"/>
        </w:rPr>
        <w:t xml:space="preserve">the Case Materials </w:t>
      </w:r>
      <w:r w:rsidR="00AC7E51">
        <w:rPr>
          <w:rFonts w:ascii="Times New Roman" w:hAnsi="Times New Roman" w:cs="Times New Roman"/>
          <w:sz w:val="24"/>
          <w:szCs w:val="24"/>
          <w:lang w:val="en-US"/>
        </w:rPr>
        <w:t>in advance</w:t>
      </w:r>
      <w:r w:rsidR="005979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E51">
        <w:rPr>
          <w:rFonts w:ascii="Times New Roman" w:hAnsi="Times New Roman" w:cs="Times New Roman"/>
          <w:sz w:val="24"/>
          <w:szCs w:val="24"/>
          <w:lang w:val="en-US"/>
        </w:rPr>
        <w:t xml:space="preserve">and prepare well with their teams under </w:t>
      </w:r>
      <w:r w:rsidR="0017393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7E51">
        <w:rPr>
          <w:rFonts w:ascii="Times New Roman" w:hAnsi="Times New Roman" w:cs="Times New Roman"/>
          <w:sz w:val="24"/>
          <w:szCs w:val="24"/>
          <w:lang w:val="en-US"/>
        </w:rPr>
        <w:t>supervis</w:t>
      </w:r>
      <w:r w:rsidR="0017393B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AC7E51">
        <w:rPr>
          <w:rFonts w:ascii="Times New Roman" w:hAnsi="Times New Roman" w:cs="Times New Roman"/>
          <w:sz w:val="24"/>
          <w:szCs w:val="24"/>
          <w:lang w:val="en-US"/>
        </w:rPr>
        <w:t xml:space="preserve"> of the coaches during</w:t>
      </w:r>
      <w:r w:rsidR="005979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E51">
        <w:rPr>
          <w:rFonts w:ascii="Times New Roman" w:hAnsi="Times New Roman" w:cs="Times New Roman"/>
          <w:sz w:val="24"/>
          <w:szCs w:val="24"/>
          <w:lang w:val="en-US"/>
        </w:rPr>
        <w:t xml:space="preserve">the Arbitration School.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F5A48" w:rsidRDefault="005F5A4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Schedule</w:t>
      </w:r>
      <w:r w:rsidR="0092500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70BC9" w:rsidRPr="00870BC9" w:rsidRDefault="00870BC9" w:rsidP="00870BC9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</w:t>
      </w:r>
      <w:r w:rsidRPr="00870BC9">
        <w:rPr>
          <w:rFonts w:ascii="Times New Roman" w:hAnsi="Times New Roman" w:cs="Times New Roman"/>
          <w:sz w:val="24"/>
          <w:szCs w:val="24"/>
          <w:u w:val="single"/>
          <w:lang w:val="en-US"/>
        </w:rPr>
        <w:t>efore the Arbitration School</w:t>
      </w:r>
    </w:p>
    <w:p w:rsidR="00925005" w:rsidRDefault="00925005" w:rsidP="00925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25005">
        <w:rPr>
          <w:rFonts w:ascii="Times New Roman" w:hAnsi="Times New Roman" w:cs="Times New Roman"/>
          <w:sz w:val="24"/>
          <w:szCs w:val="24"/>
          <w:lang w:val="en-US"/>
        </w:rPr>
        <w:t xml:space="preserve">until 4 May: Individual work – study of </w:t>
      </w:r>
      <w:r w:rsidR="0017393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B237E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925005">
        <w:rPr>
          <w:rFonts w:ascii="Times New Roman" w:hAnsi="Times New Roman" w:cs="Times New Roman"/>
          <w:sz w:val="24"/>
          <w:szCs w:val="24"/>
          <w:lang w:val="en-US"/>
        </w:rPr>
        <w:t xml:space="preserve"> Materials</w:t>
      </w:r>
      <w:r w:rsidR="007B237E">
        <w:rPr>
          <w:rFonts w:ascii="Times New Roman" w:hAnsi="Times New Roman" w:cs="Times New Roman"/>
          <w:sz w:val="24"/>
          <w:szCs w:val="24"/>
          <w:lang w:val="en-US"/>
        </w:rPr>
        <w:t xml:space="preserve"> and other Preparatory Materials</w:t>
      </w:r>
      <w:r w:rsidRPr="00925005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870BC9" w:rsidRPr="00870BC9" w:rsidRDefault="00870BC9" w:rsidP="00870BC9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70BC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during the Arbitration School: </w:t>
      </w:r>
    </w:p>
    <w:p w:rsidR="005F5A48" w:rsidRPr="00925005" w:rsidRDefault="005F5A48" w:rsidP="00925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25005">
        <w:rPr>
          <w:rFonts w:ascii="Times New Roman" w:hAnsi="Times New Roman" w:cs="Times New Roman"/>
          <w:sz w:val="24"/>
          <w:szCs w:val="24"/>
          <w:lang w:val="en-US"/>
        </w:rPr>
        <w:t>4 May, 16:15-18:00: Work in groups</w:t>
      </w:r>
      <w:r w:rsidR="009C4025">
        <w:rPr>
          <w:rFonts w:ascii="Times New Roman" w:hAnsi="Times New Roman" w:cs="Times New Roman"/>
          <w:sz w:val="24"/>
          <w:szCs w:val="24"/>
          <w:lang w:val="en-US"/>
        </w:rPr>
        <w:t xml:space="preserve"> with coaches</w:t>
      </w:r>
      <w:r w:rsidRPr="0092500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979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25005">
        <w:rPr>
          <w:rFonts w:ascii="Times New Roman" w:hAnsi="Times New Roman" w:cs="Times New Roman"/>
          <w:sz w:val="24"/>
          <w:szCs w:val="24"/>
          <w:lang w:val="en-US"/>
        </w:rPr>
        <w:t xml:space="preserve">Claimant </w:t>
      </w:r>
      <w:r w:rsidR="0017393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979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25005">
        <w:rPr>
          <w:rFonts w:ascii="Times New Roman" w:hAnsi="Times New Roman" w:cs="Times New Roman"/>
          <w:sz w:val="24"/>
          <w:szCs w:val="24"/>
          <w:lang w:val="en-US"/>
        </w:rPr>
        <w:t xml:space="preserve"> Respondent) – preparing to the Hearing (Jurisdiction / Merits</w:t>
      </w:r>
      <w:r w:rsidR="00925005" w:rsidRPr="00925005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5F5A48" w:rsidRPr="00925005" w:rsidRDefault="005F5A48" w:rsidP="00925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25005">
        <w:rPr>
          <w:rFonts w:ascii="Times New Roman" w:hAnsi="Times New Roman" w:cs="Times New Roman"/>
          <w:sz w:val="24"/>
          <w:szCs w:val="24"/>
          <w:lang w:val="en-US"/>
        </w:rPr>
        <w:t>5 May</w:t>
      </w:r>
      <w:r w:rsidR="00925005" w:rsidRPr="0092500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25005">
        <w:rPr>
          <w:rFonts w:ascii="Times New Roman" w:hAnsi="Times New Roman" w:cs="Times New Roman"/>
          <w:sz w:val="24"/>
          <w:szCs w:val="24"/>
          <w:lang w:val="en-US"/>
        </w:rPr>
        <w:t xml:space="preserve"> 16:30-18:00: Work in groups</w:t>
      </w:r>
      <w:r w:rsidR="009C4025">
        <w:rPr>
          <w:rFonts w:ascii="Times New Roman" w:hAnsi="Times New Roman" w:cs="Times New Roman"/>
          <w:sz w:val="24"/>
          <w:szCs w:val="24"/>
          <w:lang w:val="en-US"/>
        </w:rPr>
        <w:t xml:space="preserve"> with coaches</w:t>
      </w:r>
      <w:r w:rsidRPr="0092500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979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25005">
        <w:rPr>
          <w:rFonts w:ascii="Times New Roman" w:hAnsi="Times New Roman" w:cs="Times New Roman"/>
          <w:sz w:val="24"/>
          <w:szCs w:val="24"/>
          <w:lang w:val="en-US"/>
        </w:rPr>
        <w:t xml:space="preserve">Claimant </w:t>
      </w:r>
      <w:r w:rsidR="0017393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979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25005">
        <w:rPr>
          <w:rFonts w:ascii="Times New Roman" w:hAnsi="Times New Roman" w:cs="Times New Roman"/>
          <w:sz w:val="24"/>
          <w:szCs w:val="24"/>
          <w:lang w:val="en-US"/>
        </w:rPr>
        <w:t xml:space="preserve"> Respondent) – preparing to the Hearing (Jurisdiction / Merits), </w:t>
      </w:r>
      <w:r w:rsidR="00925005" w:rsidRPr="00925005">
        <w:rPr>
          <w:rFonts w:ascii="Times New Roman" w:hAnsi="Times New Roman" w:cs="Times New Roman"/>
          <w:sz w:val="24"/>
          <w:szCs w:val="24"/>
          <w:lang w:val="en-US"/>
        </w:rPr>
        <w:t>and/</w:t>
      </w:r>
      <w:r w:rsidRPr="0092500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25005" w:rsidRPr="00925005">
        <w:rPr>
          <w:rFonts w:ascii="Times New Roman" w:hAnsi="Times New Roman" w:cs="Times New Roman"/>
          <w:sz w:val="24"/>
          <w:szCs w:val="24"/>
          <w:lang w:val="en-US"/>
        </w:rPr>
        <w:t>Preparatory Mock Hearing;</w:t>
      </w:r>
    </w:p>
    <w:p w:rsidR="005F5A48" w:rsidRPr="00925005" w:rsidRDefault="005F5A48" w:rsidP="00925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25005">
        <w:rPr>
          <w:rFonts w:ascii="Times New Roman" w:hAnsi="Times New Roman" w:cs="Times New Roman"/>
          <w:sz w:val="24"/>
          <w:szCs w:val="24"/>
          <w:lang w:val="en-US"/>
        </w:rPr>
        <w:t>6 May</w:t>
      </w:r>
      <w:r w:rsidR="00925005" w:rsidRPr="009250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25005">
        <w:rPr>
          <w:rFonts w:ascii="Times New Roman" w:hAnsi="Times New Roman" w:cs="Times New Roman"/>
          <w:sz w:val="24"/>
          <w:szCs w:val="24"/>
          <w:lang w:val="en-US"/>
        </w:rPr>
        <w:t>11:30-13:30: Mock</w:t>
      </w:r>
      <w:r w:rsidR="00925005" w:rsidRPr="00925005">
        <w:rPr>
          <w:rFonts w:ascii="Times New Roman" w:hAnsi="Times New Roman" w:cs="Times New Roman"/>
          <w:sz w:val="24"/>
          <w:szCs w:val="24"/>
          <w:lang w:val="en-US"/>
        </w:rPr>
        <w:t xml:space="preserve"> Hearing: Jurisdiction &amp; Merits.</w:t>
      </w:r>
    </w:p>
    <w:p w:rsidR="009C4025" w:rsidRDefault="009C4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Coaches:</w:t>
      </w:r>
    </w:p>
    <w:p w:rsidR="009C4025" w:rsidRPr="009C4025" w:rsidRDefault="009C4025" w:rsidP="009C40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513B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Claimant </w:t>
      </w:r>
      <w:r w:rsidR="00E513B2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E513B2">
        <w:rPr>
          <w:rFonts w:ascii="Times New Roman" w:hAnsi="Times New Roman" w:cs="Times New Roman"/>
          <w:sz w:val="24"/>
          <w:szCs w:val="24"/>
          <w:u w:val="single"/>
          <w:lang w:val="en-US"/>
        </w:rPr>
        <w:t>eam:</w:t>
      </w:r>
      <w:r w:rsidR="00E51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13B2" w:rsidRPr="00135B61">
        <w:rPr>
          <w:rFonts w:ascii="Times New Roman" w:hAnsi="Times New Roman" w:cs="Times New Roman"/>
          <w:sz w:val="24"/>
          <w:szCs w:val="24"/>
          <w:lang w:val="en-US"/>
        </w:rPr>
        <w:t>Mykyta Nota</w:t>
      </w:r>
      <w:r w:rsidR="00E513B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513B2" w:rsidRPr="00135B61">
        <w:rPr>
          <w:rFonts w:ascii="Times New Roman" w:hAnsi="Times New Roman" w:cs="Times New Roman"/>
          <w:sz w:val="24"/>
          <w:szCs w:val="24"/>
          <w:lang w:val="en-US"/>
        </w:rPr>
        <w:t xml:space="preserve">Oksana Varakina </w:t>
      </w:r>
      <w:r w:rsidR="00E513B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E513B2">
        <w:rPr>
          <w:rFonts w:ascii="Times New Roman" w:hAnsi="Times New Roman" w:cs="Times New Roman"/>
          <w:sz w:val="24"/>
          <w:szCs w:val="24"/>
          <w:lang w:val="en-US"/>
        </w:rPr>
        <w:t>Avellum</w:t>
      </w:r>
      <w:proofErr w:type="spellEnd"/>
      <w:r w:rsidR="00E513B2">
        <w:rPr>
          <w:rFonts w:ascii="Times New Roman" w:hAnsi="Times New Roman" w:cs="Times New Roman"/>
          <w:sz w:val="24"/>
          <w:szCs w:val="24"/>
          <w:lang w:val="en-US"/>
        </w:rPr>
        <w:t xml:space="preserve"> Partners</w:t>
      </w:r>
      <w:r w:rsidR="007B237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4025" w:rsidRPr="009C4025" w:rsidRDefault="009C4025" w:rsidP="00135B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513B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Respondent </w:t>
      </w:r>
      <w:r w:rsidR="00E513B2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E513B2">
        <w:rPr>
          <w:rFonts w:ascii="Times New Roman" w:hAnsi="Times New Roman" w:cs="Times New Roman"/>
          <w:sz w:val="24"/>
          <w:szCs w:val="24"/>
          <w:u w:val="single"/>
          <w:lang w:val="en-US"/>
        </w:rPr>
        <w:t>eam</w:t>
      </w:r>
      <w:r w:rsidR="00135B61" w:rsidRPr="00E513B2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 w:rsidR="00E513B2">
        <w:rPr>
          <w:rFonts w:ascii="Times New Roman" w:hAnsi="Times New Roman" w:cs="Times New Roman"/>
          <w:sz w:val="24"/>
          <w:szCs w:val="24"/>
          <w:lang w:val="en-US"/>
        </w:rPr>
        <w:t xml:space="preserve"> Volodymyr Yaremko and Oksana Karel of Arzinger</w:t>
      </w:r>
      <w:r w:rsidR="007B23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5A48" w:rsidRDefault="009C40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Suggestions</w:t>
      </w:r>
      <w:r w:rsidR="00C612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individual preparatory work:</w:t>
      </w:r>
    </w:p>
    <w:p w:rsidR="00E513B2" w:rsidRDefault="007B237E" w:rsidP="005C173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237E">
        <w:rPr>
          <w:rFonts w:ascii="Times New Roman" w:hAnsi="Times New Roman" w:cs="Times New Roman"/>
          <w:sz w:val="24"/>
          <w:szCs w:val="24"/>
          <w:u w:val="single"/>
          <w:lang w:val="en-US"/>
        </w:rPr>
        <w:t>Preparatory Materials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consist of </w:t>
      </w:r>
      <w:r w:rsidR="0017393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Case Materials and legal authorities (attached). The participants are free to use any other materials which they deem appropriate</w:t>
      </w:r>
      <w:r w:rsidR="009D24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92C99" w:rsidRDefault="007B237E" w:rsidP="00C612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participants are expected to </w:t>
      </w:r>
      <w:r w:rsidR="009D24FC">
        <w:rPr>
          <w:rFonts w:ascii="Times New Roman" w:hAnsi="Times New Roman" w:cs="Times New Roman"/>
          <w:sz w:val="24"/>
          <w:szCs w:val="24"/>
          <w:lang w:val="en-US"/>
        </w:rPr>
        <w:t xml:space="preserve">prepare case for </w:t>
      </w:r>
      <w:r w:rsidR="009D24FC" w:rsidRPr="009D24FC">
        <w:rPr>
          <w:rFonts w:ascii="Times New Roman" w:hAnsi="Times New Roman" w:cs="Times New Roman"/>
          <w:sz w:val="24"/>
          <w:szCs w:val="24"/>
          <w:u w:val="single"/>
          <w:lang w:val="en-US"/>
        </w:rPr>
        <w:t>both</w:t>
      </w:r>
      <w:r w:rsidR="0059790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</w:t>
      </w:r>
      <w:r w:rsidRPr="009D24F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Claimant and</w:t>
      </w:r>
      <w:r w:rsidR="0059790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</w:t>
      </w:r>
      <w:r w:rsidRPr="009D24F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Respondent</w:t>
      </w:r>
      <w:r w:rsidR="009D24FC">
        <w:rPr>
          <w:rFonts w:ascii="Times New Roman" w:hAnsi="Times New Roman" w:cs="Times New Roman"/>
          <w:sz w:val="24"/>
          <w:szCs w:val="24"/>
          <w:lang w:val="en-US"/>
        </w:rPr>
        <w:t xml:space="preserve">, since they </w:t>
      </w:r>
      <w:r w:rsidR="0017393B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9D24FC">
        <w:rPr>
          <w:rFonts w:ascii="Times New Roman" w:hAnsi="Times New Roman" w:cs="Times New Roman"/>
          <w:sz w:val="24"/>
          <w:szCs w:val="24"/>
          <w:lang w:val="en-US"/>
        </w:rPr>
        <w:t>get to know their team only at the Arbitration School;</w:t>
      </w:r>
    </w:p>
    <w:p w:rsidR="00C61255" w:rsidRDefault="009D24FC" w:rsidP="00C612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24FC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Facts: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is crucial to know well all relevant facts in advance, including those on which there is agreement</w:t>
      </w:r>
      <w:r w:rsidR="00597904">
        <w:rPr>
          <w:rFonts w:ascii="Times New Roman" w:hAnsi="Times New Roman" w:cs="Times New Roman"/>
          <w:sz w:val="24"/>
          <w:szCs w:val="24"/>
          <w:lang w:val="en-US"/>
        </w:rPr>
        <w:t>/disagreement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between</w:t>
      </w:r>
      <w:r w:rsidR="005979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Claimant and</w:t>
      </w:r>
      <w:r w:rsidR="005979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Respondent; </w:t>
      </w:r>
    </w:p>
    <w:p w:rsidR="00C61255" w:rsidRPr="009D24FC" w:rsidRDefault="009D24FC" w:rsidP="005C173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D24FC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etermine </w:t>
      </w:r>
      <w:r w:rsidRPr="009D24FC">
        <w:rPr>
          <w:rFonts w:ascii="Times New Roman" w:hAnsi="Times New Roman" w:cs="Times New Roman"/>
          <w:sz w:val="24"/>
          <w:szCs w:val="24"/>
          <w:u w:val="single"/>
          <w:lang w:val="en-US"/>
        </w:rPr>
        <w:t>applicable material and procedural law</w:t>
      </w:r>
      <w:r w:rsidR="00597904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the dispute, in particular legal provision</w:t>
      </w:r>
      <w:r w:rsidR="00597904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which the Parties refer in support of their case;  </w:t>
      </w:r>
    </w:p>
    <w:p w:rsidR="00C61255" w:rsidRDefault="009D24FC" w:rsidP="005C173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key </w:t>
      </w:r>
      <w:r w:rsidRPr="001454DD">
        <w:rPr>
          <w:rFonts w:ascii="Times New Roman" w:hAnsi="Times New Roman" w:cs="Times New Roman"/>
          <w:sz w:val="24"/>
          <w:szCs w:val="24"/>
          <w:u w:val="single"/>
          <w:lang w:val="en-US"/>
        </w:rPr>
        <w:t>issues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which shall be considere</w:t>
      </w:r>
      <w:r w:rsidR="001454DD">
        <w:rPr>
          <w:rFonts w:ascii="Times New Roman" w:hAnsi="Times New Roman" w:cs="Times New Roman"/>
          <w:sz w:val="24"/>
          <w:szCs w:val="24"/>
          <w:lang w:val="en-US"/>
        </w:rPr>
        <w:t xml:space="preserve">d by the Arbitral Tribunal in relation to jurisdiction and merits of the dispute; </w:t>
      </w:r>
    </w:p>
    <w:p w:rsidR="00C61255" w:rsidRDefault="001454DD" w:rsidP="005C173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</w:t>
      </w:r>
      <w:r w:rsidRPr="001454DD">
        <w:rPr>
          <w:rFonts w:ascii="Times New Roman" w:hAnsi="Times New Roman" w:cs="Times New Roman"/>
          <w:sz w:val="24"/>
          <w:szCs w:val="24"/>
          <w:u w:val="single"/>
          <w:lang w:val="en-US"/>
        </w:rPr>
        <w:t>arguments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1736">
        <w:rPr>
          <w:rFonts w:ascii="Times New Roman" w:hAnsi="Times New Roman" w:cs="Times New Roman"/>
          <w:sz w:val="24"/>
          <w:szCs w:val="24"/>
          <w:lang w:val="en-US"/>
        </w:rPr>
        <w:t>presented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the Parties in </w:t>
      </w:r>
      <w:r w:rsidR="005C1736">
        <w:rPr>
          <w:rFonts w:ascii="Times New Roman" w:hAnsi="Times New Roman" w:cs="Times New Roman"/>
          <w:sz w:val="24"/>
          <w:szCs w:val="24"/>
          <w:lang w:val="en-US"/>
        </w:rPr>
        <w:t>relation to each of the issues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as well as </w:t>
      </w:r>
      <w:r w:rsidR="00D850E7">
        <w:rPr>
          <w:rFonts w:ascii="Times New Roman" w:hAnsi="Times New Roman" w:cs="Times New Roman"/>
          <w:sz w:val="24"/>
          <w:szCs w:val="24"/>
          <w:lang w:val="en-US"/>
        </w:rPr>
        <w:t xml:space="preserve">think </w:t>
      </w:r>
      <w:r>
        <w:rPr>
          <w:rFonts w:ascii="Times New Roman" w:hAnsi="Times New Roman" w:cs="Times New Roman"/>
          <w:sz w:val="24"/>
          <w:szCs w:val="24"/>
          <w:lang w:val="en-US"/>
        </w:rPr>
        <w:t>whether there are any additional arguments;</w:t>
      </w:r>
    </w:p>
    <w:p w:rsidR="00C61255" w:rsidRDefault="001454DD" w:rsidP="00C612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Track and study </w:t>
      </w:r>
      <w:r w:rsidRPr="001454DD">
        <w:rPr>
          <w:rFonts w:ascii="Times New Roman" w:hAnsi="Times New Roman" w:cs="Times New Roman"/>
          <w:sz w:val="24"/>
          <w:szCs w:val="24"/>
          <w:u w:val="single"/>
          <w:lang w:val="en-US"/>
        </w:rPr>
        <w:t>procedural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documents within the Case Material to establish: procedural history of the case; current status and next steps of case consideration. </w:t>
      </w:r>
    </w:p>
    <w:p w:rsidR="00604E59" w:rsidRPr="005F5A48" w:rsidRDefault="0059790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Non-exhaustive </w:t>
      </w:r>
      <w:r w:rsidR="001739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list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C61255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5F5A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reparatory </w:t>
      </w:r>
      <w:r w:rsidR="00604E59" w:rsidRPr="005F5A48">
        <w:rPr>
          <w:rFonts w:ascii="Times New Roman" w:hAnsi="Times New Roman" w:cs="Times New Roman"/>
          <w:b/>
          <w:sz w:val="24"/>
          <w:szCs w:val="24"/>
          <w:lang w:val="en-US"/>
        </w:rPr>
        <w:t>Materials</w:t>
      </w:r>
      <w:r w:rsidR="009C40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(attached):</w:t>
      </w:r>
    </w:p>
    <w:p w:rsidR="009C4025" w:rsidRDefault="009C4025" w:rsidP="009C40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4025">
        <w:rPr>
          <w:rFonts w:ascii="Times New Roman" w:hAnsi="Times New Roman" w:cs="Times New Roman"/>
          <w:sz w:val="24"/>
          <w:szCs w:val="24"/>
          <w:lang w:val="en-US"/>
        </w:rPr>
        <w:t>Case Materials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97904" w:rsidRPr="009C4025" w:rsidRDefault="00597904" w:rsidP="009C40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UNCITRAL Model Law on International Commercial Arbitration</w:t>
      </w:r>
      <w:r w:rsidR="001739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393B">
        <w:rPr>
          <w:rFonts w:ascii="Times New Roman" w:hAnsi="Times New Roman" w:cs="Times New Roman"/>
          <w:sz w:val="24"/>
          <w:szCs w:val="24"/>
          <w:lang w:val="en-US"/>
        </w:rPr>
        <w:t>of 1985</w:t>
      </w:r>
      <w:r w:rsidR="004C44A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C52D8" w:rsidRPr="00135B61" w:rsidRDefault="00FC52D8" w:rsidP="009C40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C4025">
        <w:rPr>
          <w:rFonts w:ascii="Times New Roman" w:hAnsi="Times New Roman" w:cs="Times New Roman"/>
          <w:sz w:val="24"/>
          <w:szCs w:val="24"/>
          <w:lang w:val="en-US"/>
        </w:rPr>
        <w:t xml:space="preserve">ICC </w:t>
      </w:r>
      <w:proofErr w:type="spellStart"/>
      <w:r w:rsidRPr="009C4025">
        <w:rPr>
          <w:rFonts w:ascii="Times New Roman" w:hAnsi="Times New Roman" w:cs="Times New Roman"/>
          <w:sz w:val="24"/>
          <w:szCs w:val="24"/>
          <w:lang w:val="en-US"/>
        </w:rPr>
        <w:t>Arbitr</w:t>
      </w:r>
      <w:r w:rsidRPr="00135B61">
        <w:rPr>
          <w:rFonts w:ascii="Times New Roman" w:hAnsi="Times New Roman" w:cs="Times New Roman"/>
          <w:sz w:val="24"/>
          <w:szCs w:val="24"/>
          <w:lang w:val="en-GB"/>
        </w:rPr>
        <w:t>ation</w:t>
      </w:r>
      <w:proofErr w:type="spellEnd"/>
      <w:r w:rsidRPr="00135B61">
        <w:rPr>
          <w:rFonts w:ascii="Times New Roman" w:hAnsi="Times New Roman" w:cs="Times New Roman"/>
          <w:sz w:val="24"/>
          <w:szCs w:val="24"/>
          <w:lang w:val="en-GB"/>
        </w:rPr>
        <w:t xml:space="preserve"> Rules</w:t>
      </w:r>
      <w:r w:rsidR="0017393B">
        <w:rPr>
          <w:rFonts w:ascii="Times New Roman" w:hAnsi="Times New Roman" w:cs="Times New Roman"/>
          <w:sz w:val="24"/>
          <w:szCs w:val="24"/>
          <w:lang w:val="en-GB"/>
        </w:rPr>
        <w:t xml:space="preserve"> of 2012</w:t>
      </w:r>
      <w:r w:rsidR="009C4025" w:rsidRPr="00135B61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AA23F4" w:rsidRPr="00135B61" w:rsidRDefault="00FC52D8" w:rsidP="009C40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35B61">
        <w:rPr>
          <w:rFonts w:ascii="Times New Roman" w:hAnsi="Times New Roman" w:cs="Times New Roman"/>
          <w:sz w:val="24"/>
          <w:szCs w:val="24"/>
          <w:lang w:val="en-GB"/>
        </w:rPr>
        <w:t>The Uniform Rules of the International Chamber of Commerce for Demand Guarantees (URDG) (as amended in 2010, ICC Publication No. 758)</w:t>
      </w:r>
      <w:r w:rsidR="009C4025" w:rsidRPr="00135B61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4C44AF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bookmarkStart w:id="0" w:name="_GoBack"/>
      <w:bookmarkEnd w:id="0"/>
    </w:p>
    <w:p w:rsidR="00FC52D8" w:rsidRPr="001C15A2" w:rsidRDefault="00604E59" w:rsidP="001C15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C15A2">
        <w:rPr>
          <w:rFonts w:ascii="Times New Roman" w:hAnsi="Times New Roman" w:cs="Times New Roman"/>
          <w:sz w:val="24"/>
          <w:szCs w:val="24"/>
          <w:lang w:val="en-GB"/>
        </w:rPr>
        <w:t xml:space="preserve">New York </w:t>
      </w:r>
      <w:r w:rsidR="00FC52D8" w:rsidRPr="001C15A2">
        <w:rPr>
          <w:rFonts w:ascii="Times New Roman" w:hAnsi="Times New Roman" w:cs="Times New Roman"/>
          <w:sz w:val="24"/>
          <w:szCs w:val="24"/>
          <w:lang w:val="en-GB"/>
        </w:rPr>
        <w:t xml:space="preserve">Convention </w:t>
      </w:r>
      <w:r w:rsidRPr="001C15A2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FC52D8" w:rsidRPr="001C15A2">
        <w:rPr>
          <w:rFonts w:ascii="Times New Roman" w:hAnsi="Times New Roman" w:cs="Times New Roman"/>
          <w:sz w:val="24"/>
          <w:szCs w:val="24"/>
          <w:lang w:val="en-GB"/>
        </w:rPr>
        <w:t xml:space="preserve">n the Recognition and Enforcement of Foreign Arbitral Awards </w:t>
      </w:r>
      <w:r w:rsidR="00597904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FC52D8" w:rsidRPr="001C15A2">
        <w:rPr>
          <w:rFonts w:ascii="Times New Roman" w:hAnsi="Times New Roman" w:cs="Times New Roman"/>
          <w:sz w:val="24"/>
          <w:szCs w:val="24"/>
          <w:lang w:val="en-GB"/>
        </w:rPr>
        <w:t>1958</w:t>
      </w:r>
      <w:r w:rsidR="009C4025" w:rsidRPr="001C15A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FC52D8" w:rsidRPr="001C15A2" w:rsidSect="00CD2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D45"/>
    <w:multiLevelType w:val="hybridMultilevel"/>
    <w:tmpl w:val="424CC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F68FF"/>
    <w:multiLevelType w:val="hybridMultilevel"/>
    <w:tmpl w:val="7F602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D60B5"/>
    <w:multiLevelType w:val="hybridMultilevel"/>
    <w:tmpl w:val="B91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F1DE0"/>
    <w:multiLevelType w:val="hybridMultilevel"/>
    <w:tmpl w:val="A7F63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304DC"/>
    <w:multiLevelType w:val="hybridMultilevel"/>
    <w:tmpl w:val="2FC62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F5047"/>
    <w:multiLevelType w:val="hybridMultilevel"/>
    <w:tmpl w:val="E872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DE"/>
    <w:rsid w:val="00135B61"/>
    <w:rsid w:val="001454DD"/>
    <w:rsid w:val="0017393B"/>
    <w:rsid w:val="001C15A2"/>
    <w:rsid w:val="004C44AF"/>
    <w:rsid w:val="004D57DE"/>
    <w:rsid w:val="00592C99"/>
    <w:rsid w:val="00597904"/>
    <w:rsid w:val="005C1736"/>
    <w:rsid w:val="005F5A48"/>
    <w:rsid w:val="005F7AFD"/>
    <w:rsid w:val="00604E59"/>
    <w:rsid w:val="006140ED"/>
    <w:rsid w:val="007B237E"/>
    <w:rsid w:val="00870BC9"/>
    <w:rsid w:val="00925005"/>
    <w:rsid w:val="009C4025"/>
    <w:rsid w:val="009D24FC"/>
    <w:rsid w:val="00AA23F4"/>
    <w:rsid w:val="00AC7E51"/>
    <w:rsid w:val="00C07A34"/>
    <w:rsid w:val="00C61255"/>
    <w:rsid w:val="00CD25B1"/>
    <w:rsid w:val="00D850E7"/>
    <w:rsid w:val="00E513B2"/>
    <w:rsid w:val="00F40CBA"/>
    <w:rsid w:val="00F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0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B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0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B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Arzinger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Yaremko</dc:creator>
  <cp:keywords/>
  <dc:description/>
  <cp:lastModifiedBy>Oksana Varakina</cp:lastModifiedBy>
  <cp:revision>5</cp:revision>
  <dcterms:created xsi:type="dcterms:W3CDTF">2015-04-13T13:28:00Z</dcterms:created>
  <dcterms:modified xsi:type="dcterms:W3CDTF">2015-04-14T18:58:00Z</dcterms:modified>
</cp:coreProperties>
</file>