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line="360" w:lineRule="auto"/>
        <w:jc w:val="center"/>
        <w:rPr>
          <w:rFonts w:ascii="Verdana" w:hAnsi="Verdana" w:eastAsia="Verdana" w:cs="Verdana"/>
          <w:sz w:val="20"/>
          <w:szCs w:val="20"/>
        </w:rPr>
      </w:pPr>
      <w:bookmarkStart w:id="0" w:name="_GoBack"/>
      <w:bookmarkEnd w:id="0"/>
      <w:r>
        <w:rPr>
          <w:rFonts w:ascii="Verdana" w:hAnsi="Verdana" w:eastAsia="Verdana" w:cs="Verdana"/>
          <w:sz w:val="20"/>
          <w:szCs w:val="20"/>
        </w:rPr>
      </w:r>
      <w:r>
        <w:rPr>
          <w:noProof/>
        </w:rPr>
        <w:drawing>
          <wp:inline distT="0" distB="0" distL="114300" distR="114300">
            <wp:extent cx="2821940" cy="441325"/>
            <wp:effectExtent l="0" t="0" r="0" b="0"/>
            <wp:docPr id="1" name="Картинка4"/>
            <wp:cNvGraphicFramePr/>
            <a:graphic xmlns:a="http://schemas.openxmlformats.org/drawingml/2006/main">
              <a:graphicData uri="http://schemas.openxmlformats.org/drawingml/2006/picture">
                <pic:pic xmlns:pic="http://schemas.openxmlformats.org/drawingml/2006/picture">
                  <pic:nvPicPr>
                    <pic:cNvPr id="1" name="Картинка4"/>
                    <pic:cNvPicPr>
                      <a:extLst>
                        <a:ext uri="smNativeData">
                          <sm:smNativeData xmlns:sm="smo" val="SMDATA_11_R6Bp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XAAAAFAAAAAAAAAAAAAAA/38AAP9/AAAAAgAACQAAAAQAAAAAAAAADAAAABAAAAAAAAAAAAAAAAAAAAAAAAAAHgAAAGgAAAAAAAAAAAAAAAAAAAAAAAAAAAAAABAnAAAQJwAAAAAAAAAAAAAAAAAAAAAAAAAAAAAAAAAAAAAAAAAAAAAUAAAAAAAAAMDA/wAAAAAAZAAAADIAAAAAAAAAZAAAAAAAAAB/f38ACgAAAA=="/>
                        </a:ext>
                      </a:extLst>
                    </pic:cNvPicPr>
                  </pic:nvPicPr>
                  <pic:blipFill>
                    <a:blip r:embed="rId7"/>
                    <a:stretch>
                      <a:fillRect/>
                    </a:stretch>
                  </pic:blipFill>
                  <pic:spPr>
                    <a:xfrm>
                      <a:off x="0" y="0"/>
                      <a:ext cx="2821940" cy="441325"/>
                    </a:xfrm>
                    <a:prstGeom prst="rect">
                      <a:avLst/>
                    </a:prstGeom>
                    <a:noFill/>
                    <a:ln w="12700">
                      <a:noFill/>
                    </a:ln>
                  </pic:spPr>
                </pic:pic>
              </a:graphicData>
            </a:graphic>
          </wp:inline>
        </w:drawing>
      </w:r>
      <w:r>
        <w:rPr>
          <w:rFonts w:ascii="Verdana" w:hAnsi="Verdana" w:eastAsia="Verdana" w:cs="Verdana"/>
          <w:sz w:val="20"/>
          <w:szCs w:val="20"/>
        </w:rPr>
      </w:r>
    </w:p>
    <w:p>
      <w:pPr>
        <w:ind w:left="284" w:right="284" w:firstLine="709"/>
        <w:spacing w:after="200" w:line="360" w:lineRule="auto"/>
        <w:jc w:val="center"/>
        <w:rPr>
          <w:rFonts w:ascii="Verdana" w:hAnsi="Verdana" w:eastAsia="Verdana" w:cs="Verdana"/>
          <w:b/>
          <w:sz w:val="20"/>
          <w:szCs w:val="20"/>
          <w:lang w:val="uk-ua" w:eastAsia="en-us"/>
        </w:rPr>
      </w:pPr>
      <w:r>
        <w:rPr>
          <w:rFonts w:ascii="Verdana" w:hAnsi="Verdana" w:eastAsia="Verdana" w:cs="Verdana"/>
          <w:b/>
          <w:sz w:val="20"/>
          <w:szCs w:val="20"/>
          <w:lang w:val="uk-ua" w:eastAsia="en-us"/>
        </w:rPr>
        <w:t>Положення</w:t>
      </w:r>
    </w:p>
    <w:p>
      <w:pPr>
        <w:ind w:left="284" w:right="284" w:firstLine="709"/>
        <w:spacing w:after="200" w:line="360" w:lineRule="auto"/>
        <w:jc w:val="center"/>
        <w:rPr>
          <w:rFonts w:ascii="Verdana" w:hAnsi="Verdana" w:eastAsia="Verdana" w:cs="Verdana"/>
          <w:b/>
          <w:sz w:val="20"/>
          <w:szCs w:val="20"/>
          <w:lang w:eastAsia="en-us"/>
        </w:rPr>
      </w:pPr>
      <w:r>
        <w:rPr>
          <w:rFonts w:ascii="Verdana" w:hAnsi="Verdana" w:eastAsia="Verdana" w:cs="Verdana"/>
          <w:b/>
          <w:sz w:val="20"/>
          <w:szCs w:val="20"/>
          <w:lang w:val="uk-ua" w:eastAsia="en-us"/>
        </w:rPr>
        <w:t xml:space="preserve">про </w:t>
      </w:r>
      <w:r>
        <w:rPr>
          <w:rFonts w:ascii="Verdana" w:hAnsi="Verdana" w:eastAsia="Verdana" w:cs="Verdana"/>
          <w:b/>
          <w:spacing w:val="-4"/>
          <w:sz w:val="20"/>
          <w:szCs w:val="20"/>
          <w:lang w:val="en-us" w:eastAsia="ru-ru"/>
        </w:rPr>
        <w:t>II</w:t>
      </w:r>
      <w:r>
        <w:rPr>
          <w:rFonts w:ascii="Verdana" w:hAnsi="Verdana" w:eastAsia="Verdana" w:cs="Verdana"/>
          <w:b/>
          <w:sz w:val="20"/>
          <w:szCs w:val="20"/>
          <w:lang w:val="uk-ua" w:eastAsia="en-us"/>
        </w:rPr>
        <w:t>І Всеукраїнський конкурс письмових робіт</w:t>
      </w:r>
      <w:r>
        <w:rPr>
          <w:rFonts w:ascii="Verdana" w:hAnsi="Verdana" w:eastAsia="Verdana" w:cs="Verdana"/>
          <w:b/>
          <w:sz w:val="20"/>
          <w:szCs w:val="20"/>
          <w:lang w:eastAsia="en-us"/>
        </w:rPr>
      </w:r>
    </w:p>
    <w:p>
      <w:pPr>
        <w:ind w:left="284" w:right="284" w:firstLine="709"/>
        <w:spacing w:after="200" w:line="360" w:lineRule="auto"/>
        <w:jc w:val="center"/>
        <w:rPr>
          <w:rFonts w:ascii="Verdana" w:hAnsi="Verdana" w:eastAsia="Verdana" w:cs="Verdana"/>
          <w:b/>
          <w:sz w:val="20"/>
          <w:szCs w:val="20"/>
          <w:lang w:eastAsia="en-us"/>
        </w:rPr>
      </w:pPr>
      <w:r>
        <w:rPr>
          <w:rFonts w:ascii="Verdana" w:hAnsi="Verdana" w:eastAsia="Verdana" w:cs="Verdana"/>
          <w:b/>
          <w:sz w:val="20"/>
          <w:szCs w:val="20"/>
          <w:lang w:val="uk-ua" w:eastAsia="en-us"/>
        </w:rPr>
        <w:t>з міжнародного комерційного арбітражу,</w:t>
      </w:r>
      <w:r>
        <w:rPr>
          <w:rFonts w:ascii="Verdana" w:hAnsi="Verdana" w:eastAsia="Verdana" w:cs="Verdana"/>
          <w:b/>
          <w:sz w:val="20"/>
          <w:szCs w:val="20"/>
          <w:lang w:eastAsia="en-us"/>
        </w:rPr>
      </w:r>
    </w:p>
    <w:p>
      <w:pPr>
        <w:ind w:left="284" w:right="284" w:firstLine="709"/>
        <w:spacing w:after="200" w:line="360" w:lineRule="auto"/>
        <w:jc w:val="center"/>
        <w:rPr>
          <w:rFonts w:ascii="Verdana" w:hAnsi="Verdana" w:eastAsia="Verdana" w:cs="Verdana"/>
          <w:b/>
          <w:sz w:val="20"/>
          <w:szCs w:val="20"/>
          <w:lang w:eastAsia="en-us"/>
        </w:rPr>
      </w:pPr>
      <w:r>
        <w:rPr>
          <w:rFonts w:ascii="Verdana" w:hAnsi="Verdana" w:eastAsia="Verdana" w:cs="Verdana"/>
          <w:b/>
          <w:sz w:val="20"/>
          <w:szCs w:val="20"/>
          <w:lang w:val="uk-ua" w:eastAsia="en-us"/>
        </w:rPr>
        <w:t>який спільно організовується Лігою студентів</w:t>
      </w:r>
      <w:r>
        <w:rPr>
          <w:rFonts w:ascii="Verdana" w:hAnsi="Verdana" w:eastAsia="Verdana" w:cs="Verdana"/>
          <w:b/>
          <w:sz w:val="20"/>
          <w:szCs w:val="20"/>
          <w:lang w:eastAsia="en-us"/>
        </w:rPr>
      </w:r>
    </w:p>
    <w:p>
      <w:pPr>
        <w:ind w:left="284" w:right="284" w:firstLine="709"/>
        <w:spacing w:after="200" w:line="360" w:lineRule="auto"/>
        <w:jc w:val="center"/>
        <w:rPr>
          <w:rFonts w:ascii="Verdana" w:hAnsi="Verdana" w:eastAsia="Verdana" w:cs="Verdana"/>
          <w:b/>
          <w:sz w:val="20"/>
          <w:szCs w:val="20"/>
          <w:lang w:eastAsia="en-us"/>
        </w:rPr>
      </w:pPr>
      <w:r>
        <w:rPr>
          <w:rFonts w:ascii="Verdana" w:hAnsi="Verdana" w:eastAsia="Verdana" w:cs="Verdana"/>
          <w:b/>
          <w:sz w:val="20"/>
          <w:szCs w:val="20"/>
          <w:lang w:val="uk-ua" w:eastAsia="en-us"/>
        </w:rPr>
        <w:t>ВГО «Асоціація правників України» та</w:t>
      </w:r>
      <w:r>
        <w:rPr>
          <w:rFonts w:ascii="Verdana" w:hAnsi="Verdana" w:eastAsia="Verdana" w:cs="Verdana"/>
          <w:b/>
          <w:sz w:val="20"/>
          <w:szCs w:val="20"/>
          <w:lang w:eastAsia="en-us"/>
        </w:rPr>
      </w:r>
    </w:p>
    <w:p>
      <w:pPr>
        <w:ind w:left="284" w:right="284" w:firstLine="709"/>
        <w:spacing w:after="200" w:line="360" w:lineRule="auto"/>
        <w:jc w:val="center"/>
        <w:rPr>
          <w:rFonts w:ascii="Verdana" w:hAnsi="Verdana" w:eastAsia="Verdana" w:cs="Verdana"/>
          <w:b/>
          <w:sz w:val="20"/>
          <w:szCs w:val="20"/>
          <w:lang w:val="uk-ua" w:eastAsia="en-us"/>
        </w:rPr>
      </w:pPr>
      <w:r>
        <w:rPr>
          <w:rFonts w:ascii="Verdana" w:hAnsi="Verdana" w:eastAsia="Verdana" w:cs="Verdana"/>
          <w:b/>
          <w:sz w:val="20"/>
          <w:szCs w:val="20"/>
          <w:lang w:val="uk-ua" w:eastAsia="en-us"/>
        </w:rPr>
        <w:t>ГО «Українська Арбітражна Асоціація»</w:t>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 xml:space="preserve">1. Загальні положення </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b/>
          <w:sz w:val="20"/>
          <w:szCs w:val="20"/>
        </w:rPr>
        <w:t>1.1</w:t>
      </w:r>
      <w:r>
        <w:rPr>
          <w:rFonts w:ascii="Verdana" w:hAnsi="Verdana" w:eastAsia="Verdana" w:cs="Verdana"/>
          <w:sz w:val="20"/>
          <w:szCs w:val="20"/>
        </w:rPr>
        <w:t xml:space="preserve"> Конкурс наукових, порівняльних та аналітичних статей на тему: “Iura novit curia: arbitration prospective” (далі - Конкурс) проводиться з метою професійного розвитку студентів та заохочення їх до здійснення досліджень у сфері </w:t>
      </w:r>
      <w:r>
        <w:rPr>
          <w:rFonts w:ascii="Verdana" w:hAnsi="Verdana" w:eastAsia="Verdana" w:cs="Verdana"/>
          <w:b/>
          <w:sz w:val="20"/>
          <w:szCs w:val="20"/>
        </w:rPr>
        <w:t>міжнародного комерційного арбітражу</w:t>
      </w:r>
      <w:r>
        <w:rPr>
          <w:rFonts w:ascii="Verdana" w:hAnsi="Verdana" w:eastAsia="Verdana" w:cs="Verdana"/>
          <w:sz w:val="20"/>
          <w:szCs w:val="20"/>
        </w:rPr>
        <w:t>.</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1.2.</w:t>
      </w:r>
      <w:r>
        <w:rPr>
          <w:rFonts w:ascii="Verdana" w:hAnsi="Verdana" w:eastAsia="Verdana" w:cs="Verdana"/>
          <w:sz w:val="20"/>
          <w:szCs w:val="20"/>
          <w:lang w:val="uk-ua" w:eastAsia="en-us"/>
        </w:rPr>
        <w:t xml:space="preserve"> Конкурс організовується Лігою студентів Всеукраїнської громадської організації «Асоціація правників України» (надалі – Ліга студентів АПУ) та Громадською організацією «Українська Арбітражна Асоціація» серед студентів юридичних спеціальностей вищих навчальних закладів України. </w:t>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2. Учасники конкурсу</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2.1.</w:t>
      </w:r>
      <w:r>
        <w:rPr>
          <w:rFonts w:ascii="Verdana" w:hAnsi="Verdana" w:eastAsia="Verdana" w:cs="Verdana"/>
          <w:sz w:val="20"/>
          <w:szCs w:val="20"/>
          <w:lang w:val="uk-ua" w:eastAsia="en-us"/>
        </w:rPr>
        <w:t xml:space="preserve"> У Конкурсі можуть брати участь студенти юридичних спеціальностей вищих навчальних закладів України ІІІ-ІV рівнів акредитації незалежно від форм власності та підпорядкування (далі - Учасник). </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2.2.</w:t>
      </w:r>
      <w:r>
        <w:rPr>
          <w:rFonts w:ascii="Verdana" w:hAnsi="Verdana" w:eastAsia="Verdana" w:cs="Verdana"/>
          <w:sz w:val="20"/>
          <w:szCs w:val="20"/>
          <w:lang w:val="uk-ua" w:eastAsia="en-us"/>
        </w:rPr>
        <w:t xml:space="preserve"> Учасник може взяти участь у Конкурсі незалежно від рівня академічної успішності, наявності рекомендацій деканату, вченої ради, кафедр, отримання державних або інших видів стипендій, заохочень, рівня доходів тощо.</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3. Організаційний комітет і Конкурсна комісія Конкурсу</w:t>
      </w:r>
    </w:p>
    <w:p>
      <w:pPr>
        <w:ind w:left="284" w:right="284" w:firstLine="709"/>
        <w:spacing w:after="200" w:line="360" w:lineRule="auto"/>
        <w:jc w:val="both"/>
        <w:rPr>
          <w:rFonts w:ascii="Verdana" w:hAnsi="Verdana" w:eastAsia="Verdana" w:cs="Verdana"/>
          <w:sz w:val="20"/>
          <w:szCs w:val="20"/>
          <w:lang w:eastAsia="en-us"/>
        </w:rPr>
      </w:pPr>
      <w:r>
        <w:rPr>
          <w:rFonts w:ascii="Verdana" w:hAnsi="Verdana" w:eastAsia="Verdana" w:cs="Verdana"/>
          <w:b/>
          <w:sz w:val="20"/>
          <w:szCs w:val="20"/>
          <w:lang w:val="uk-ua" w:eastAsia="en-us"/>
        </w:rPr>
        <w:t>3.1.</w:t>
      </w:r>
      <w:r>
        <w:rPr>
          <w:rFonts w:ascii="Verdana" w:hAnsi="Verdana" w:eastAsia="Verdana" w:cs="Verdana"/>
          <w:sz w:val="20"/>
          <w:szCs w:val="20"/>
          <w:lang w:val="uk-ua" w:eastAsia="en-us"/>
        </w:rPr>
        <w:t xml:space="preserve"> До складу Організаційного комітету Конкурсу (далі – Оргкомітет) входять члени Ліги студентів АПУ та ГО «Українська Арбітражна Асоціація». Оргкомітет забезпечує проведення Конкурсу, веде листування із Учасниками Конкурсу, пересилає конкурсні роботи на перевірку Конкурсній комісії, та виконує інші обов’язки, покладені на нього цим Положенням. Організаційний комітет надсилає роботи за наступною адресою: </w:t>
      </w:r>
      <w:r>
        <w:rPr>
          <w:rFonts w:ascii="Verdana" w:hAnsi="Verdana" w:eastAsia="Verdana" w:cs="Verdana"/>
          <w:sz w:val="20"/>
          <w:szCs w:val="20"/>
          <w:lang w:val="en-us" w:eastAsia="en-us"/>
        </w:rPr>
        <w:t>secretariat</w:t>
      </w:r>
      <w:r>
        <w:rPr>
          <w:rFonts w:ascii="Verdana" w:hAnsi="Verdana" w:eastAsia="Verdana" w:cs="Verdana"/>
          <w:sz w:val="20"/>
          <w:szCs w:val="20"/>
          <w:lang w:eastAsia="en-us"/>
        </w:rPr>
        <w:t>@</w:t>
      </w:r>
      <w:r>
        <w:rPr>
          <w:rFonts w:ascii="Verdana" w:hAnsi="Verdana" w:eastAsia="Verdana" w:cs="Verdana"/>
          <w:sz w:val="20"/>
          <w:szCs w:val="20"/>
          <w:lang w:val="en-us" w:eastAsia="en-us"/>
        </w:rPr>
        <w:t>arbitration</w:t>
      </w:r>
      <w:r>
        <w:rPr>
          <w:rFonts w:ascii="Verdana" w:hAnsi="Verdana" w:eastAsia="Verdana" w:cs="Verdana"/>
          <w:sz w:val="20"/>
          <w:szCs w:val="20"/>
          <w:lang w:eastAsia="en-us"/>
        </w:rPr>
        <w:t>.</w:t>
      </w:r>
      <w:r>
        <w:rPr>
          <w:rFonts w:ascii="Verdana" w:hAnsi="Verdana" w:eastAsia="Verdana" w:cs="Verdana"/>
          <w:sz w:val="20"/>
          <w:szCs w:val="20"/>
          <w:lang w:val="en-us" w:eastAsia="en-us"/>
        </w:rPr>
        <w:t>kiev</w:t>
      </w:r>
      <w:r>
        <w:rPr>
          <w:rFonts w:ascii="Verdana" w:hAnsi="Verdana" w:eastAsia="Verdana" w:cs="Verdana"/>
          <w:sz w:val="20"/>
          <w:szCs w:val="20"/>
          <w:lang w:eastAsia="en-us"/>
        </w:rPr>
        <w:t>.</w:t>
      </w:r>
      <w:r>
        <w:rPr>
          <w:rFonts w:ascii="Verdana" w:hAnsi="Verdana" w:eastAsia="Verdana" w:cs="Verdana"/>
          <w:sz w:val="20"/>
          <w:szCs w:val="20"/>
          <w:lang w:val="en-us" w:eastAsia="en-us"/>
        </w:rPr>
        <w:t>ua</w:t>
      </w:r>
      <w:r>
        <w:rPr>
          <w:rFonts w:ascii="Verdana" w:hAnsi="Verdana" w:eastAsia="Verdana" w:cs="Verdana"/>
          <w:sz w:val="20"/>
          <w:szCs w:val="20"/>
          <w:lang w:eastAsia="en-us"/>
        </w:rPr>
        <w:t>.</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3.2.</w:t>
      </w:r>
      <w:r>
        <w:rPr>
          <w:rFonts w:ascii="Verdana" w:hAnsi="Verdana" w:eastAsia="Verdana" w:cs="Verdana"/>
          <w:sz w:val="20"/>
          <w:szCs w:val="20"/>
          <w:lang w:val="uk-ua" w:eastAsia="en-us"/>
        </w:rPr>
        <w:t xml:space="preserve"> Конкурсна комісія розглядає, оцінює конкурсні роботи та визначає переможців Конкурсу. До складу Конкурсної комісії входять: представники ГО «Українська </w:t>
      </w:r>
      <w:r>
        <w:rPr>
          <w:rFonts w:ascii="Verdana" w:hAnsi="Verdana" w:eastAsia="Verdana" w:cs="Verdana"/>
          <w:sz w:val="20"/>
          <w:szCs w:val="20"/>
          <w:lang w:eastAsia="en-us"/>
        </w:rPr>
        <w:t>А</w:t>
      </w:r>
      <w:r>
        <w:rPr>
          <w:rFonts w:ascii="Verdana" w:hAnsi="Verdana" w:eastAsia="Verdana" w:cs="Verdana"/>
          <w:sz w:val="20"/>
          <w:szCs w:val="20"/>
          <w:lang w:val="uk-ua" w:eastAsia="en-us"/>
        </w:rPr>
        <w:t xml:space="preserve">рбітражна </w:t>
      </w:r>
      <w:r>
        <w:rPr>
          <w:rFonts w:ascii="Verdana" w:hAnsi="Verdana" w:eastAsia="Verdana" w:cs="Verdana"/>
          <w:sz w:val="20"/>
          <w:szCs w:val="20"/>
          <w:lang w:eastAsia="en-us"/>
        </w:rPr>
        <w:t>А</w:t>
      </w:r>
      <w:r>
        <w:rPr>
          <w:rFonts w:ascii="Verdana" w:hAnsi="Verdana" w:eastAsia="Verdana" w:cs="Verdana"/>
          <w:sz w:val="20"/>
          <w:szCs w:val="20"/>
          <w:lang w:val="uk-ua" w:eastAsia="en-us"/>
        </w:rPr>
        <w:t xml:space="preserve">соціація». </w:t>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4. Порядок проведення Конкурсу</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4.1.</w:t>
      </w:r>
      <w:r>
        <w:rPr>
          <w:rFonts w:ascii="Verdana" w:hAnsi="Verdana" w:eastAsia="Verdana" w:cs="Verdana"/>
          <w:sz w:val="20"/>
          <w:szCs w:val="20"/>
          <w:lang w:val="uk-ua" w:eastAsia="en-us"/>
        </w:rPr>
        <w:t xml:space="preserve"> Конкурс проводиться з </w:t>
      </w:r>
      <w:r>
        <w:rPr>
          <w:rFonts w:ascii="Verdana" w:hAnsi="Verdana" w:eastAsia="Verdana" w:cs="Verdana"/>
          <w:b/>
          <w:bCs/>
          <w:sz w:val="20"/>
          <w:szCs w:val="20"/>
          <w:lang w:val="uk-ua" w:eastAsia="en-us"/>
        </w:rPr>
        <w:t>15 грудня 2015 року по 22 лютого</w:t>
      </w:r>
      <w:r>
        <w:rPr>
          <w:rFonts w:ascii="Verdana" w:hAnsi="Verdana" w:eastAsia="Verdana" w:cs="Verdana"/>
          <w:b/>
          <w:sz w:val="20"/>
          <w:szCs w:val="20"/>
          <w:lang w:val="uk-ua" w:eastAsia="en-us"/>
        </w:rPr>
        <w:t xml:space="preserve"> 201</w:t>
      </w:r>
      <w:r>
        <w:rPr>
          <w:rFonts w:ascii="Verdana" w:hAnsi="Verdana" w:eastAsia="Verdana" w:cs="Verdana"/>
          <w:b/>
          <w:sz w:val="20"/>
          <w:szCs w:val="20"/>
          <w:lang w:eastAsia="en-us"/>
        </w:rPr>
        <w:t>6</w:t>
      </w:r>
      <w:r>
        <w:rPr>
          <w:rFonts w:ascii="Verdana" w:hAnsi="Verdana" w:eastAsia="Verdana" w:cs="Verdana"/>
          <w:b/>
          <w:sz w:val="20"/>
          <w:szCs w:val="20"/>
          <w:lang w:val="uk-ua" w:eastAsia="en-us"/>
        </w:rPr>
        <w:t xml:space="preserve"> </w:t>
      </w:r>
      <w:r>
        <w:rPr>
          <w:rFonts w:ascii="Verdana" w:hAnsi="Verdana" w:eastAsia="Verdana" w:cs="Verdana"/>
          <w:sz w:val="20"/>
          <w:szCs w:val="20"/>
          <w:lang w:val="uk-ua" w:eastAsia="en-us"/>
        </w:rPr>
        <w:t>року в 2</w:t>
      </w:r>
      <w:r>
        <w:rPr>
          <w:rFonts w:ascii="Verdana" w:hAnsi="Verdana" w:eastAsia="Verdana" w:cs="Verdana"/>
          <w:i/>
          <w:sz w:val="20"/>
          <w:szCs w:val="20"/>
          <w:lang w:val="uk-ua" w:eastAsia="en-us"/>
        </w:rPr>
        <w:t xml:space="preserve"> </w:t>
      </w:r>
      <w:r>
        <w:rPr>
          <w:rFonts w:ascii="Verdana" w:hAnsi="Verdana" w:eastAsia="Verdana" w:cs="Verdana"/>
          <w:sz w:val="20"/>
          <w:szCs w:val="20"/>
          <w:lang w:val="uk-ua" w:eastAsia="en-us"/>
        </w:rPr>
        <w:t xml:space="preserve">етапи: </w:t>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sz w:val="20"/>
          <w:szCs w:val="20"/>
          <w:lang w:val="uk-ua" w:eastAsia="en-us"/>
        </w:rPr>
        <w:t xml:space="preserve">I етап — подання конкурсних робіт </w:t>
      </w:r>
      <w:r>
        <w:rPr>
          <w:rFonts w:ascii="Verdana" w:hAnsi="Verdana" w:eastAsia="Verdana" w:cs="Verdana"/>
          <w:b/>
          <w:sz w:val="20"/>
          <w:szCs w:val="20"/>
          <w:lang w:val="uk-ua" w:eastAsia="en-us"/>
        </w:rPr>
        <w:t xml:space="preserve">з </w:t>
      </w:r>
      <w:r>
        <w:rPr>
          <w:rFonts w:ascii="Verdana" w:hAnsi="Verdana" w:eastAsia="Verdana" w:cs="Verdana"/>
          <w:b/>
          <w:bCs/>
          <w:sz w:val="20"/>
          <w:szCs w:val="20"/>
          <w:lang w:val="uk-ua" w:eastAsia="en-us"/>
        </w:rPr>
        <w:t>15 грудня 2015 року по 31 січня</w:t>
      </w:r>
      <w:r>
        <w:rPr>
          <w:rFonts w:ascii="Verdana" w:hAnsi="Verdana" w:eastAsia="Verdana" w:cs="Verdana"/>
          <w:b/>
          <w:sz w:val="20"/>
          <w:szCs w:val="20"/>
          <w:lang w:val="uk-ua" w:eastAsia="en-us"/>
        </w:rPr>
        <w:t xml:space="preserve"> 201</w:t>
      </w:r>
      <w:r>
        <w:rPr>
          <w:rFonts w:ascii="Verdana" w:hAnsi="Verdana" w:eastAsia="Verdana" w:cs="Verdana"/>
          <w:b/>
          <w:sz w:val="20"/>
          <w:szCs w:val="20"/>
          <w:lang w:eastAsia="en-us"/>
        </w:rPr>
        <w:t>6</w:t>
      </w:r>
      <w:r>
        <w:rPr>
          <w:rFonts w:ascii="Verdana" w:hAnsi="Verdana" w:eastAsia="Verdana" w:cs="Verdana"/>
          <w:b/>
          <w:sz w:val="20"/>
          <w:szCs w:val="20"/>
          <w:lang w:val="uk-ua" w:eastAsia="en-us"/>
        </w:rPr>
        <w:t xml:space="preserve"> року</w:t>
      </w:r>
      <w:r>
        <w:rPr>
          <w:rFonts w:ascii="Verdana" w:hAnsi="Verdana" w:eastAsia="Verdana" w:cs="Verdana"/>
          <w:sz w:val="20"/>
          <w:szCs w:val="20"/>
          <w:lang w:val="uk-ua" w:eastAsia="en-us"/>
        </w:rPr>
        <w:t xml:space="preserve">. Визначення 10 кращих робіт та запрошення їх авторів до Києва на святкову церемонію – </w:t>
      </w:r>
      <w:r>
        <w:rPr>
          <w:rFonts w:ascii="Verdana" w:hAnsi="Verdana" w:eastAsia="Verdana" w:cs="Verdana"/>
          <w:b/>
          <w:sz w:val="20"/>
          <w:szCs w:val="20"/>
          <w:lang w:val="uk-ua" w:eastAsia="en-us"/>
        </w:rPr>
        <w:t xml:space="preserve">до </w:t>
      </w:r>
      <w:r>
        <w:rPr>
          <w:rFonts w:ascii="Verdana" w:hAnsi="Verdana" w:eastAsia="Verdana" w:cs="Verdana"/>
          <w:b/>
          <w:sz w:val="20"/>
          <w:szCs w:val="20"/>
          <w:lang w:eastAsia="en-us"/>
        </w:rPr>
        <w:t>22 лютого</w:t>
      </w:r>
      <w:r>
        <w:rPr>
          <w:rFonts w:ascii="Verdana" w:hAnsi="Verdana" w:eastAsia="Verdana" w:cs="Verdana"/>
          <w:b/>
          <w:sz w:val="20"/>
          <w:szCs w:val="20"/>
          <w:lang w:val="uk-ua" w:eastAsia="en-us"/>
        </w:rPr>
        <w:t xml:space="preserve"> 201</w:t>
      </w:r>
      <w:r>
        <w:rPr>
          <w:rFonts w:ascii="Verdana" w:hAnsi="Verdana" w:eastAsia="Verdana" w:cs="Verdana"/>
          <w:b/>
          <w:sz w:val="20"/>
          <w:szCs w:val="20"/>
          <w:lang w:eastAsia="en-us"/>
        </w:rPr>
        <w:t>6</w:t>
      </w:r>
      <w:r>
        <w:rPr>
          <w:rFonts w:ascii="Verdana" w:hAnsi="Verdana" w:eastAsia="Verdana" w:cs="Verdana"/>
          <w:b/>
          <w:sz w:val="20"/>
          <w:szCs w:val="20"/>
          <w:lang w:val="uk-ua" w:eastAsia="en-us"/>
        </w:rPr>
        <w:t xml:space="preserve"> року.</w:t>
      </w:r>
    </w:p>
    <w:p>
      <w:pPr>
        <w:ind w:right="284" w:firstLine="851"/>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uk-ua" w:eastAsia="en-us"/>
        </w:rPr>
        <w:t xml:space="preserve">II етап — визначення трьох переможців. Нагородження грамотами й преміями під час святкової церемонії – </w:t>
      </w:r>
      <w:r>
        <w:rPr>
          <w:rFonts w:ascii="Verdana" w:hAnsi="Verdana" w:eastAsia="Verdana" w:cs="Verdana"/>
          <w:b/>
          <w:sz w:val="20"/>
          <w:szCs w:val="20"/>
          <w:lang w:val="uk-ua" w:eastAsia="en-us"/>
        </w:rPr>
        <w:t>після</w:t>
      </w:r>
      <w:r>
        <w:rPr>
          <w:rFonts w:ascii="Verdana" w:hAnsi="Verdana" w:eastAsia="Verdana" w:cs="Verdana"/>
          <w:b/>
          <w:sz w:val="20"/>
          <w:szCs w:val="20"/>
          <w:lang w:eastAsia="en-us"/>
        </w:rPr>
        <w:t xml:space="preserve"> 22 лютого</w:t>
      </w:r>
      <w:r>
        <w:rPr>
          <w:rFonts w:ascii="Verdana" w:hAnsi="Verdana" w:eastAsia="Verdana" w:cs="Verdana"/>
          <w:b/>
          <w:sz w:val="20"/>
          <w:szCs w:val="20"/>
          <w:lang w:val="uk-ua" w:eastAsia="en-us"/>
        </w:rPr>
        <w:t xml:space="preserve"> 201</w:t>
      </w:r>
      <w:r>
        <w:rPr>
          <w:rFonts w:ascii="Verdana" w:hAnsi="Verdana" w:eastAsia="Verdana" w:cs="Verdana"/>
          <w:b/>
          <w:sz w:val="20"/>
          <w:szCs w:val="20"/>
          <w:lang w:eastAsia="en-us"/>
        </w:rPr>
        <w:t>6</w:t>
      </w:r>
      <w:r>
        <w:rPr>
          <w:rFonts w:ascii="Verdana" w:hAnsi="Verdana" w:eastAsia="Verdana" w:cs="Verdana"/>
          <w:b/>
          <w:sz w:val="20"/>
          <w:szCs w:val="20"/>
          <w:lang w:val="uk-ua" w:eastAsia="en-us"/>
        </w:rPr>
        <w:t xml:space="preserve"> року</w:t>
      </w:r>
      <w:r>
        <w:rPr>
          <w:rFonts w:ascii="Verdana" w:hAnsi="Verdana" w:eastAsia="Verdana" w:cs="Verdana"/>
          <w:sz w:val="20"/>
          <w:szCs w:val="20"/>
          <w:lang w:val="uk-ua" w:eastAsia="en-us"/>
        </w:rPr>
        <w:t>.</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 xml:space="preserve">5. Порядок подання та оформлення конкурсних робіт </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5.1.</w:t>
      </w:r>
      <w:r>
        <w:rPr>
          <w:rFonts w:ascii="Verdana" w:hAnsi="Verdana" w:eastAsia="Verdana" w:cs="Verdana"/>
          <w:sz w:val="20"/>
          <w:szCs w:val="20"/>
          <w:lang w:val="uk-ua" w:eastAsia="en-us"/>
        </w:rPr>
        <w:t xml:space="preserve"> До розгляду Конкурсної комісії приймаються виключно індивідуальні, раніше не опубліковані роботи, написані англійською мовою, які відповідають тематиці Конкурсу, є дослідницькими за своїм характером, відзначаються актуальністю, конкретністю, глибиною розкриття теми, логічністю і послідовністю думок, відповідають вимогам до оформлення наукових робіт. </w:t>
      </w:r>
    </w:p>
    <w:p>
      <w:pPr>
        <w:pStyle w:val=""/>
        <w:ind w:left="284" w:right="284" w:firstLine="709"/>
        <w:spacing w:after="200" w:line="360" w:lineRule="auto"/>
        <w:contextualSpacing w:val="0"/>
        <w:jc w:val="both"/>
        <w:rPr>
          <w:rFonts w:ascii="Verdana" w:hAnsi="Verdana" w:eastAsia="Verdana" w:cs="Verdana"/>
          <w:b/>
          <w:bCs/>
          <w:sz w:val="20"/>
          <w:szCs w:val="20"/>
        </w:rPr>
      </w:pPr>
      <w:r>
        <w:rPr>
          <w:rFonts w:ascii="Verdana" w:hAnsi="Verdana" w:eastAsia="Verdana" w:cs="Verdana"/>
          <w:b/>
          <w:sz w:val="20"/>
          <w:szCs w:val="20"/>
        </w:rPr>
        <w:t>5.2.</w:t>
      </w:r>
      <w:r>
        <w:rPr>
          <w:rFonts w:ascii="Verdana" w:hAnsi="Verdana" w:eastAsia="Verdana" w:cs="Verdana"/>
          <w:sz w:val="20"/>
          <w:szCs w:val="20"/>
        </w:rPr>
        <w:t xml:space="preserve"> Конкурсні роботи надсилаються учасниками на електронну адресу</w:t>
      </w:r>
      <w:r>
        <w:rPr>
          <w:rFonts w:ascii="Verdana" w:hAnsi="Verdana" w:eastAsia="Verdana" w:cs="Verdana"/>
          <w:b/>
          <w:sz w:val="20"/>
          <w:szCs w:val="20"/>
        </w:rPr>
        <w:t xml:space="preserve"> </w:t>
      </w:r>
      <w:hyperlink r:id="rId8" w:history="1">
        <w:r>
          <w:rPr>
            <w:rStyle w:val=""/>
            <w:rFonts w:ascii="Verdana" w:hAnsi="Verdana" w:eastAsia="Verdana" w:cs="Verdana"/>
            <w:b/>
            <w:color w:val="000000"/>
            <w:sz w:val="20"/>
            <w:szCs w:val="20"/>
          </w:rPr>
          <w:t>competition@ligauba.org.ua</w:t>
        </w:r>
      </w:hyperlink>
      <w:r>
        <w:rPr>
          <w:rStyle w:val=""/>
          <w:rFonts w:ascii="Verdana" w:hAnsi="Verdana" w:eastAsia="Verdana" w:cs="Verdana"/>
          <w:b w:val="0"/>
          <w:sz w:val="20"/>
          <w:szCs w:val="20"/>
        </w:rPr>
        <w:t xml:space="preserve"> </w:t>
      </w:r>
      <w:r>
        <w:rPr>
          <w:rFonts w:ascii="Verdana" w:hAnsi="Verdana" w:eastAsia="Verdana" w:cs="Verdana"/>
          <w:b/>
          <w:sz w:val="20"/>
          <w:szCs w:val="20"/>
        </w:rPr>
        <w:t>до</w:t>
      </w:r>
      <w:r>
        <w:rPr>
          <w:rFonts w:ascii="Verdana" w:hAnsi="Verdana" w:eastAsia="Verdana" w:cs="Verdana"/>
          <w:sz w:val="20"/>
          <w:szCs w:val="20"/>
        </w:rPr>
        <w:t xml:space="preserve"> </w:t>
      </w:r>
      <w:r>
        <w:rPr>
          <w:rFonts w:ascii="Verdana" w:hAnsi="Verdana" w:eastAsia="Verdana" w:cs="Verdana"/>
          <w:b/>
          <w:sz w:val="20"/>
          <w:szCs w:val="20"/>
          <w:lang w:val="ru-ru"/>
        </w:rPr>
        <w:t>31 січня</w:t>
      </w:r>
      <w:r>
        <w:rPr>
          <w:rFonts w:ascii="Verdana" w:hAnsi="Verdana" w:eastAsia="Verdana" w:cs="Verdana"/>
          <w:b/>
          <w:sz w:val="20"/>
          <w:szCs w:val="20"/>
        </w:rPr>
        <w:t xml:space="preserve"> 201</w:t>
      </w:r>
      <w:r>
        <w:rPr>
          <w:rFonts w:ascii="Verdana" w:hAnsi="Verdana" w:eastAsia="Verdana" w:cs="Verdana"/>
          <w:b/>
          <w:sz w:val="20"/>
          <w:szCs w:val="20"/>
          <w:lang w:val="ru-ru"/>
        </w:rPr>
        <w:t>6</w:t>
      </w:r>
      <w:r>
        <w:rPr>
          <w:rFonts w:ascii="Verdana" w:hAnsi="Verdana" w:eastAsia="Verdana" w:cs="Verdana"/>
          <w:b/>
          <w:sz w:val="20"/>
          <w:szCs w:val="20"/>
        </w:rPr>
        <w:t xml:space="preserve"> року</w:t>
      </w:r>
      <w:r>
        <w:rPr>
          <w:rFonts w:ascii="Verdana" w:hAnsi="Verdana" w:eastAsia="Verdana" w:cs="Verdana"/>
          <w:sz w:val="20"/>
          <w:szCs w:val="20"/>
        </w:rPr>
        <w:t xml:space="preserve">. </w:t>
      </w:r>
      <w:r>
        <w:rPr>
          <w:rFonts w:ascii="Verdana" w:hAnsi="Verdana" w:eastAsia="Verdana" w:cs="Verdana"/>
          <w:b/>
          <w:bCs/>
          <w:sz w:val="20"/>
          <w:szCs w:val="20"/>
        </w:rPr>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b/>
          <w:sz w:val="20"/>
          <w:szCs w:val="20"/>
        </w:rPr>
        <w:t>5.3.</w:t>
      </w:r>
      <w:r>
        <w:rPr>
          <w:rFonts w:ascii="Verdana" w:hAnsi="Verdana" w:eastAsia="Verdana" w:cs="Verdana"/>
          <w:sz w:val="20"/>
          <w:szCs w:val="20"/>
        </w:rPr>
        <w:t xml:space="preserve"> В темі листа зазначати </w:t>
      </w:r>
      <w:r>
        <w:rPr>
          <w:rFonts w:ascii="Verdana" w:hAnsi="Verdana" w:eastAsia="Verdana" w:cs="Verdana"/>
          <w:b/>
          <w:sz w:val="20"/>
          <w:szCs w:val="20"/>
        </w:rPr>
        <w:t>«</w:t>
      </w:r>
      <w:r>
        <w:rPr>
          <w:rFonts w:ascii="Verdana" w:hAnsi="Verdana" w:eastAsia="Verdana" w:cs="Verdana"/>
          <w:sz w:val="20"/>
          <w:szCs w:val="20"/>
        </w:rPr>
        <w:t>ПІБ</w:t>
      </w:r>
      <w:r>
        <w:rPr>
          <w:rFonts w:ascii="Verdana" w:hAnsi="Verdana" w:eastAsia="Verdana" w:cs="Verdana"/>
          <w:b/>
          <w:sz w:val="20"/>
          <w:szCs w:val="20"/>
        </w:rPr>
        <w:t xml:space="preserve"> </w:t>
      </w:r>
      <w:r>
        <w:rPr>
          <w:rFonts w:ascii="Verdana" w:hAnsi="Verdana" w:eastAsia="Verdana" w:cs="Verdana"/>
          <w:sz w:val="20"/>
          <w:szCs w:val="20"/>
        </w:rPr>
        <w:t>Учасника</w:t>
      </w:r>
      <w:r>
        <w:rPr>
          <w:rFonts w:ascii="Verdana" w:hAnsi="Verdana" w:eastAsia="Verdana" w:cs="Verdana"/>
          <w:b/>
          <w:sz w:val="20"/>
          <w:szCs w:val="20"/>
        </w:rPr>
        <w:t>»</w:t>
      </w:r>
      <w:r>
        <w:rPr>
          <w:rFonts w:ascii="Verdana" w:hAnsi="Verdana" w:eastAsia="Verdana" w:cs="Verdana"/>
          <w:sz w:val="20"/>
          <w:szCs w:val="20"/>
        </w:rPr>
        <w:t xml:space="preserve">. </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sz w:val="20"/>
          <w:szCs w:val="20"/>
        </w:rPr>
        <w:t xml:space="preserve">У додатках прикріпляти наступні файли: </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sz w:val="20"/>
          <w:szCs w:val="20"/>
        </w:rPr>
        <w:t xml:space="preserve">1) стаття у </w:t>
      </w:r>
      <w:r>
        <w:rPr>
          <w:rFonts w:ascii="Verdana" w:hAnsi="Verdana" w:eastAsia="Verdana" w:cs="Verdana"/>
          <w:sz w:val="20"/>
          <w:szCs w:val="20"/>
          <w:lang w:val="en-us"/>
        </w:rPr>
        <w:t>W</w:t>
      </w:r>
      <w:r>
        <w:rPr>
          <w:rFonts w:ascii="Verdana" w:hAnsi="Verdana" w:eastAsia="Verdana" w:cs="Verdana"/>
          <w:sz w:val="20"/>
          <w:szCs w:val="20"/>
        </w:rPr>
        <w:t xml:space="preserve">ord-форматі </w:t>
      </w:r>
      <w:r>
        <w:rPr>
          <w:rFonts w:ascii="Verdana" w:hAnsi="Verdana" w:eastAsia="Verdana" w:cs="Verdana"/>
          <w:sz w:val="20"/>
          <w:szCs w:val="20"/>
          <w:lang w:val="ru-ru"/>
        </w:rPr>
        <w:t>97 - 2003</w:t>
      </w:r>
      <w:r>
        <w:rPr>
          <w:rFonts w:ascii="Verdana" w:hAnsi="Verdana" w:eastAsia="Verdana" w:cs="Verdana"/>
          <w:sz w:val="20"/>
          <w:szCs w:val="20"/>
        </w:rPr>
        <w:t xml:space="preserve">; </w:t>
      </w:r>
    </w:p>
    <w:p>
      <w:pPr>
        <w:pStyle w:val=""/>
        <w:ind w:left="284" w:right="284" w:firstLine="709"/>
        <w:spacing w:after="200" w:line="360" w:lineRule="auto"/>
        <w:contextualSpacing w:val="0"/>
        <w:jc w:val="both"/>
        <w:rPr>
          <w:rFonts w:ascii="Verdana" w:hAnsi="Verdana" w:eastAsia="Verdana" w:cs="Verdana"/>
          <w:sz w:val="20"/>
          <w:szCs w:val="20"/>
          <w:lang w:eastAsia="en-us"/>
        </w:rPr>
      </w:pPr>
      <w:r>
        <w:rPr>
          <w:rFonts w:ascii="Verdana" w:hAnsi="Verdana" w:eastAsia="Verdana" w:cs="Verdana"/>
          <w:sz w:val="20"/>
          <w:szCs w:val="20"/>
          <w:lang w:val="en-us"/>
        </w:rPr>
        <w:t>2</w:t>
      </w:r>
      <w:r>
        <w:rPr>
          <w:rFonts w:ascii="Verdana" w:hAnsi="Verdana" w:eastAsia="Verdana" w:cs="Verdana"/>
          <w:sz w:val="20"/>
          <w:szCs w:val="20"/>
        </w:rPr>
        <w:t>) анкета</w:t>
      </w:r>
      <w:r>
        <w:rPr>
          <w:rFonts w:ascii="Verdana" w:hAnsi="Verdana" w:eastAsia="Verdana" w:cs="Verdana"/>
          <w:sz w:val="20"/>
          <w:szCs w:val="20"/>
          <w:lang w:eastAsia="en-us"/>
        </w:rPr>
        <w:t>.</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b/>
          <w:bCs/>
          <w:sz w:val="20"/>
          <w:szCs w:val="20"/>
        </w:rPr>
        <w:t xml:space="preserve">5.4. </w:t>
      </w:r>
      <w:r>
        <w:rPr>
          <w:rFonts w:ascii="Verdana" w:hAnsi="Verdana" w:eastAsia="Verdana" w:cs="Verdana"/>
          <w:bCs/>
          <w:sz w:val="20"/>
          <w:szCs w:val="20"/>
        </w:rPr>
        <w:t>Вимоги до друку</w:t>
      </w:r>
      <w:r>
        <w:rPr>
          <w:rFonts w:ascii="Verdana" w:hAnsi="Verdana" w:eastAsia="Verdana" w:cs="Verdana"/>
          <w:b/>
          <w:bCs/>
          <w:sz w:val="20"/>
          <w:szCs w:val="20"/>
        </w:rPr>
        <w:t xml:space="preserve">: </w:t>
      </w:r>
      <w:r>
        <w:rPr>
          <w:rFonts w:ascii="Verdana" w:hAnsi="Verdana" w:eastAsia="Verdana" w:cs="Verdana"/>
          <w:sz w:val="20"/>
          <w:szCs w:val="20"/>
        </w:rPr>
        <w:t xml:space="preserve">Шрифт Times New Roman; розмір 14; інтервал 1,5. Поля сторінки: зліва – 3 см, праворуч – 1.5 см, зверху та знизу сторінки – 2 см. </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b/>
          <w:sz w:val="20"/>
          <w:szCs w:val="20"/>
        </w:rPr>
        <w:t xml:space="preserve">5.5. </w:t>
      </w:r>
      <w:r>
        <w:rPr>
          <w:rFonts w:ascii="Verdana" w:hAnsi="Verdana" w:eastAsia="Verdana" w:cs="Verdana"/>
          <w:sz w:val="20"/>
          <w:szCs w:val="20"/>
        </w:rPr>
        <w:t xml:space="preserve">Загальний обсяг конкурсної роботи: </w:t>
      </w:r>
      <w:r>
        <w:rPr>
          <w:rFonts w:ascii="Verdana" w:hAnsi="Verdana" w:eastAsia="Verdana" w:cs="Verdana"/>
          <w:b/>
          <w:sz w:val="20"/>
          <w:szCs w:val="20"/>
        </w:rPr>
        <w:t>до 10 сторінок А4</w:t>
      </w:r>
      <w:r>
        <w:rPr>
          <w:rFonts w:ascii="Verdana" w:hAnsi="Verdana" w:eastAsia="Verdana" w:cs="Verdana"/>
          <w:b/>
          <w:sz w:val="20"/>
          <w:szCs w:val="20"/>
          <w:lang w:val="ru-ru"/>
        </w:rPr>
        <w:t xml:space="preserve"> </w:t>
      </w:r>
      <w:r>
        <w:rPr>
          <w:rFonts w:ascii="Verdana" w:hAnsi="Verdana" w:eastAsia="Verdana" w:cs="Verdana"/>
          <w:sz w:val="20"/>
          <w:szCs w:val="20"/>
          <w:lang w:val="ru-ru"/>
        </w:rPr>
        <w:t>(</w:t>
      </w:r>
      <w:r>
        <w:rPr>
          <w:rFonts w:ascii="Verdana" w:hAnsi="Verdana" w:eastAsia="Verdana" w:cs="Verdana"/>
          <w:sz w:val="20"/>
          <w:szCs w:val="20"/>
        </w:rPr>
        <w:t xml:space="preserve">без врахування титульної сторінки та списку використаних джерел). Робота обов'язково повинна мати назву і список використаної літератури. </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sz w:val="20"/>
          <w:szCs w:val="20"/>
        </w:rPr>
        <w:t>Список використаних джерел та літератури оформлюється в алфавітному порядку і розміщується в кінці тексту роботи. Посилання на літературу здійснюється в квадратних дужках: перша цифра позначає номер позиції зі списку літератури, друга цифра - сторінку посилання, цифри між собою відокремлюється крапкою з комою.</w:t>
      </w:r>
    </w:p>
    <w:p>
      <w:pPr>
        <w:pStyle w:val=""/>
        <w:ind w:left="284" w:right="284" w:firstLine="709"/>
        <w:spacing w:after="200" w:line="360" w:lineRule="auto"/>
        <w:contextualSpacing w:val="0"/>
        <w:jc w:val="both"/>
        <w:rPr>
          <w:rFonts w:ascii="Verdana" w:hAnsi="Verdana" w:eastAsia="Verdana" w:cs="Verdana"/>
          <w:sz w:val="20"/>
          <w:szCs w:val="20"/>
        </w:rPr>
      </w:pPr>
      <w:r>
        <w:rPr>
          <w:rFonts w:ascii="Verdana" w:hAnsi="Verdana" w:eastAsia="Verdana" w:cs="Verdana"/>
          <w:b/>
          <w:bCs/>
          <w:sz w:val="20"/>
          <w:szCs w:val="20"/>
          <w:lang w:eastAsia="en-us"/>
        </w:rPr>
        <w:t>5.6.</w:t>
      </w:r>
      <w:r>
        <w:rPr>
          <w:rFonts w:ascii="Verdana" w:hAnsi="Verdana" w:eastAsia="Verdana" w:cs="Verdana"/>
          <w:sz w:val="20"/>
          <w:szCs w:val="20"/>
          <w:lang w:eastAsia="en-us"/>
        </w:rPr>
        <w:t xml:space="preserve"> Ознайомитись з електронним варіантом Положення та отримати бланки анкети учасника можна на сайті Ліги студентів Асоціації правників України </w:t>
      </w:r>
      <w:hyperlink r:id="rId9" w:history="1">
        <w:r>
          <w:rPr>
            <w:rStyle w:val=""/>
            <w:rFonts w:ascii="Verdana" w:hAnsi="Verdana" w:eastAsia="Verdana" w:cs="Verdana"/>
            <w:b/>
            <w:color w:val="000000"/>
            <w:sz w:val="20"/>
            <w:szCs w:val="20"/>
            <w:lang w:eastAsia="en-us"/>
          </w:rPr>
          <w:t>www.ligauba.org.ua</w:t>
        </w:r>
      </w:hyperlink>
      <w:r>
        <w:rPr>
          <w:rFonts w:ascii="Verdana" w:hAnsi="Verdana" w:eastAsia="Verdana" w:cs="Verdana"/>
          <w:sz w:val="20"/>
          <w:szCs w:val="20"/>
        </w:rPr>
        <w:t xml:space="preserve"> </w:t>
      </w:r>
      <w:r>
        <w:rPr>
          <w:rFonts w:ascii="Verdana" w:hAnsi="Verdana" w:eastAsia="Verdana" w:cs="Verdana"/>
          <w:sz w:val="20"/>
          <w:szCs w:val="20"/>
        </w:rPr>
        <w:t xml:space="preserve">та Громадської організації «Українська Арбітражна Асоціація» </w:t>
      </w:r>
      <w:hyperlink r:id="rId10" w:history="1">
        <w:r>
          <w:rPr>
            <w:rStyle w:val=""/>
            <w:rFonts w:ascii="Verdana" w:hAnsi="Verdana" w:eastAsia="Verdana" w:cs="Verdana"/>
            <w:b/>
            <w:color w:val="000000"/>
            <w:sz w:val="20"/>
            <w:szCs w:val="20"/>
          </w:rPr>
          <w:t>http://arbitration.kiev.ua</w:t>
        </w:r>
      </w:hyperlink>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 xml:space="preserve">5.7. </w:t>
      </w:r>
      <w:r>
        <w:rPr>
          <w:rFonts w:ascii="Verdana" w:hAnsi="Verdana" w:eastAsia="Verdana" w:cs="Verdana"/>
          <w:sz w:val="20"/>
          <w:szCs w:val="20"/>
          <w:lang w:val="uk-ua" w:eastAsia="en-us"/>
        </w:rPr>
        <w:t>Роботи, які не відповідають вимогам</w:t>
      </w:r>
      <w:r>
        <w:rPr>
          <w:rFonts w:ascii="Verdana" w:hAnsi="Verdana" w:eastAsia="Verdana" w:cs="Verdana"/>
          <w:b/>
          <w:sz w:val="20"/>
          <w:szCs w:val="20"/>
          <w:lang w:val="uk-ua" w:eastAsia="en-us"/>
        </w:rPr>
        <w:t>, розглядатися не будуть.</w:t>
      </w:r>
      <w:r>
        <w:rPr>
          <w:rFonts w:ascii="Verdana" w:hAnsi="Verdana" w:eastAsia="Verdana" w:cs="Verdana"/>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r>
    </w:p>
    <w:p>
      <w:pPr>
        <w:ind w:left="284" w:right="284" w:firstLine="709"/>
        <w:spacing w:after="200" w:line="360" w:lineRule="auto"/>
        <w:jc w:val="both"/>
        <w:rPr>
          <w:rFonts w:ascii="Verdana" w:hAnsi="Verdana" w:eastAsia="Verdana" w:cs="Verdana"/>
          <w:b/>
          <w:sz w:val="20"/>
          <w:szCs w:val="20"/>
          <w:lang w:val="uk-ua" w:eastAsia="en-us"/>
        </w:rPr>
      </w:pPr>
      <w:r>
        <w:rPr>
          <w:rFonts w:ascii="Verdana" w:hAnsi="Verdana" w:eastAsia="Verdana" w:cs="Verdana"/>
          <w:b/>
          <w:sz w:val="20"/>
          <w:szCs w:val="20"/>
          <w:lang w:val="uk-ua" w:eastAsia="en-us"/>
        </w:rPr>
        <w:t>6. Нагороди переможців Конкурсу</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6.1.</w:t>
      </w:r>
      <w:r>
        <w:rPr>
          <w:rFonts w:ascii="Verdana" w:hAnsi="Verdana" w:eastAsia="Verdana" w:cs="Verdana"/>
          <w:sz w:val="20"/>
          <w:szCs w:val="20"/>
          <w:lang w:val="uk-ua" w:eastAsia="en-us"/>
        </w:rPr>
        <w:t xml:space="preserve"> Переможці конкурсу будуть нагороджені протягом десяти днів з моменту оголошення результатів Конкурсу відповідно до нижчевикладеного порядку:</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en-us" w:eastAsia="en-us"/>
        </w:rPr>
        <w:t>I</w:t>
      </w:r>
      <w:r>
        <w:rPr>
          <w:rFonts w:ascii="Verdana" w:hAnsi="Verdana" w:eastAsia="Verdana" w:cs="Verdana"/>
          <w:sz w:val="20"/>
          <w:szCs w:val="20"/>
          <w:lang w:val="uk-ua" w:eastAsia="en-us"/>
        </w:rPr>
        <w:t xml:space="preserve"> місце – учасник, який посяде перше місце за результатами Конкурсу набуває можливість пройти оплачуване стажування протягом одного місяця в провідній українській/міжнародній юридичній фірмі за напрямком «Вирішення спорів» та отримує грошову премію у розмірі 2,000 грн. та право стати кандидатом у члени ГО «Українська Арбітражна Асоціація» без сплати вступного та щорічного внесків. </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en-us" w:eastAsia="en-us"/>
        </w:rPr>
        <w:t>II</w:t>
      </w:r>
      <w:r>
        <w:rPr>
          <w:rFonts w:ascii="Verdana" w:hAnsi="Verdana" w:eastAsia="Verdana" w:cs="Verdana"/>
          <w:sz w:val="20"/>
          <w:szCs w:val="20"/>
          <w:lang w:val="uk-ua" w:eastAsia="en-us"/>
        </w:rPr>
        <w:t xml:space="preserve"> місце - учасник, який посяде друге місце за результатами Конкурсу набуває можливість пройти безоплатне стажування протягом одного місяця в провідній українській/міжнародній юридичній фірмі за напрямком «Вирішення спорів» та отримує грошову премію у розмірі 1,000 грн. та право стати кандидатом у члени ГО «Українська Арбітражна Асоціація» без сплати вступного та щорічного внесків.</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sz w:val="20"/>
          <w:szCs w:val="20"/>
          <w:lang w:val="en-us" w:eastAsia="en-us"/>
        </w:rPr>
        <w:t>III</w:t>
      </w:r>
      <w:r>
        <w:rPr>
          <w:rFonts w:ascii="Verdana" w:hAnsi="Verdana" w:eastAsia="Verdana" w:cs="Verdana"/>
          <w:sz w:val="20"/>
          <w:szCs w:val="20"/>
          <w:lang w:val="uk-ua" w:eastAsia="en-us"/>
        </w:rPr>
        <w:t xml:space="preserve"> місце - учасник, який посяде третє місце за результатами Конкурсу отримує в якості винагороди літературу з міжнародного комерційного арбітражу та право стати кандидатом у члени ГО «Українська Арбітражна Асоціація» без сплати вступного та щорічного внесків</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6.2.</w:t>
      </w:r>
      <w:r>
        <w:rPr>
          <w:rFonts w:ascii="Verdana" w:hAnsi="Verdana" w:eastAsia="Verdana" w:cs="Verdana"/>
          <w:sz w:val="20"/>
          <w:szCs w:val="20"/>
          <w:lang w:val="uk-ua" w:eastAsia="en-us"/>
        </w:rPr>
        <w:t xml:space="preserve"> Кожен з переможців отримує сертифікат про перемогу у Конкурсі.</w:t>
      </w:r>
    </w:p>
    <w:p>
      <w:pPr>
        <w:ind w:left="284" w:right="284" w:firstLine="709"/>
        <w:spacing w:after="200" w:line="360" w:lineRule="auto"/>
        <w:jc w:val="both"/>
        <w:rPr>
          <w:rFonts w:ascii="Verdana" w:hAnsi="Verdana" w:eastAsia="Verdana" w:cs="Verdana"/>
          <w:sz w:val="20"/>
          <w:szCs w:val="20"/>
          <w:lang w:val="uk-ua" w:eastAsia="en-us"/>
        </w:rPr>
      </w:pPr>
      <w:r>
        <w:rPr>
          <w:rFonts w:ascii="Verdana" w:hAnsi="Verdana" w:eastAsia="Verdana" w:cs="Verdana"/>
          <w:b/>
          <w:sz w:val="20"/>
          <w:szCs w:val="20"/>
          <w:lang w:val="uk-ua" w:eastAsia="en-us"/>
        </w:rPr>
        <w:t>6.3.</w:t>
      </w:r>
      <w:r>
        <w:rPr>
          <w:rFonts w:ascii="Verdana" w:hAnsi="Verdana" w:eastAsia="Verdana" w:cs="Verdana"/>
          <w:sz w:val="20"/>
          <w:szCs w:val="20"/>
          <w:lang w:val="uk-ua" w:eastAsia="en-us"/>
        </w:rPr>
        <w:t xml:space="preserve"> Переможці Конкурсу можуть бути зараховані поза конкурсом при проведенні відбору учасників до зарахування на І</w:t>
      </w:r>
      <w:r>
        <w:rPr>
          <w:rFonts w:ascii="Verdana" w:hAnsi="Verdana" w:eastAsia="Verdana" w:cs="Verdana"/>
          <w:spacing w:val="-4"/>
          <w:sz w:val="20"/>
          <w:szCs w:val="20"/>
          <w:lang w:val="en-us" w:eastAsia="ru-ru"/>
        </w:rPr>
        <w:t>V</w:t>
      </w:r>
      <w:r>
        <w:rPr>
          <w:rFonts w:ascii="Verdana" w:hAnsi="Verdana" w:eastAsia="Verdana" w:cs="Verdana"/>
          <w:sz w:val="20"/>
          <w:szCs w:val="20"/>
          <w:lang w:val="uk-ua" w:eastAsia="en-us"/>
        </w:rPr>
        <w:t xml:space="preserve"> Арбітражну школу УАА. </w:t>
      </w:r>
    </w:p>
    <w:sectPr>
      <w:headerReference w:type="default" r:id="rId11"/>
      <w:footerReference w:type="default" r:id="rId12"/>
      <w:type w:val="nextPage"/>
      <w:pgSz w:h="16838" w:w="11906"/>
      <w:pgMar w:left="851" w:top="2835" w:right="851" w:bottom="1701" w:header="2835" w:footer="709"/>
      <w:paperSrc w:first="0" w:other="0"/>
      <w:tmSection w:h="-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libri Light">
    <w:panose1 w:val="020F0302020204030204"/>
    <w:charset w:val="cc"/>
    <w:family w:val="swiss"/>
    <w:pitch w:val="default"/>
  </w:font>
  <w:font w:name="Verdana">
    <w:panose1 w:val="020B0604030504040204"/>
    <w:charset w:val="cc"/>
    <w:family w:val="swiss"/>
    <w:pitch w:val="default"/>
  </w:font>
  <w:font w:name="Tunga">
    <w:panose1 w:val="020B0502040204020203"/>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rPr>
      <w:drawing>
        <wp:anchor distT="0" distB="0" distL="114300" distR="114300" simplePos="0" relativeHeight="251659266" behindDoc="0" locked="0" layoutInCell="1" hidden="0" allowOverlap="1">
          <wp:simplePos x="0" y="0"/>
          <wp:positionH relativeFrom="column">
            <wp:posOffset>-83820</wp:posOffset>
          </wp:positionH>
          <wp:positionV relativeFrom="paragraph">
            <wp:posOffset>-17145</wp:posOffset>
          </wp:positionV>
          <wp:extent cx="6832600" cy="864235"/>
          <wp:effectExtent l="0" t="0" r="0" b="0"/>
          <wp:wrapSquare wrapText="bothSides"/>
          <wp:docPr id="1026" name="Картинка1"/>
          <wp:cNvGraphicFramePr/>
          <a:graphic xmlns:a="http://schemas.openxmlformats.org/drawingml/2006/main">
            <a:graphicData uri="http://schemas.openxmlformats.org/drawingml/2006/picture">
              <pic:pic xmlns:pic="http://schemas.openxmlformats.org/drawingml/2006/picture">
                <pic:nvPicPr>
                  <pic:cNvPr id="1026" name="Картинка1"/>
                  <pic:cNvPicPr>
                    <a:extLst>
                      <a:ext uri="smNativeData">
                        <sm:smNativeData xmlns:sm="smo" val="SMDATA_11_R6Bp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gAACQAAAAQAAAAAAAAADAAAABAAAAAAAAAAAAAAAAAAAAAAAAAAHgAAAGgAAAAAAAAAAAAAAAAAAAAAAAAAAAAAABAnAAAQJwAAAAAAAAAAAAAAAAAAAAAAAAAAAAAAAAAAAAAAAAAAAAAUAAAAAAAAAMDA/wAAAAAAZAAAADIAAAAAAAAAZAAAAAAAAAB/f38ACgAAAA=="/>
                      </a:ext>
                    </a:extLst>
                  </pic:cNvPicPr>
                </pic:nvPicPr>
                <pic:blipFill>
                  <a:blip r:embed="rId1"/>
                  <a:stretch>
                    <a:fillRect/>
                  </a:stretch>
                </pic:blipFill>
                <pic:spPr>
                  <a:xfrm>
                    <a:off x="0" y="0"/>
                    <a:ext cx="6832600" cy="864235"/>
                  </a:xfrm>
                  <a:prstGeom prst="rect">
                    <a:avLst/>
                  </a:prstGeom>
                  <a:noFill/>
                  <a:ln w="12700">
                    <a:noFill/>
                  </a:ln>
                </pic:spPr>
              </pic:pic>
            </a:graphicData>
          </a:graphic>
        </wp:anchor>
      </w:drawing>
    </w: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noProof/>
      </w:rPr>
      <w:drawing>
        <wp:anchor distT="0" distB="0" distL="114300" distR="114300" simplePos="0" relativeHeight="251659265" behindDoc="0" locked="0" layoutInCell="1" hidden="0" allowOverlap="1">
          <wp:simplePos x="0" y="0"/>
          <wp:positionH relativeFrom="column">
            <wp:posOffset>-182245</wp:posOffset>
          </wp:positionH>
          <wp:positionV relativeFrom="paragraph">
            <wp:posOffset>-1376045</wp:posOffset>
          </wp:positionV>
          <wp:extent cx="6845300" cy="1903095"/>
          <wp:effectExtent l="0" t="0" r="0" b="0"/>
          <wp:wrapSquare wrapText="bothSides"/>
          <wp:docPr id="1025" name="Картинка2"/>
          <wp:cNvGraphicFramePr/>
          <a:graphic xmlns:a="http://schemas.openxmlformats.org/drawingml/2006/main">
            <a:graphicData uri="http://schemas.openxmlformats.org/drawingml/2006/picture">
              <pic:pic xmlns:pic="http://schemas.openxmlformats.org/drawingml/2006/picture">
                <pic:nvPicPr>
                  <pic:cNvPr id="1025" name="Картинка2"/>
                  <pic:cNvPicPr>
                    <a:extLst>
                      <a:ext uri="smNativeData">
                        <sm:smNativeData xmlns:sm="smo" val="SMDATA_11_R6BpV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XAAAAFAAAAAAAAAAAAAAA/38AAP9/AAAAAgAACQAAAAQAAAAAAAAADAAAABAAAAAAAAAAAAAAAAAAAAAAAAAAHgAAAGgAAAAAAAAAAAAAAAAAAAAAAAAAAAAAABAnAAAQJwAAAAAAAAAAAAAAAAAAAAAAAAAAAAAAAAAAAAAAAAAAAAAUAAAAAAAAAMDA/wAAAAAAZAAAADIAAAAAAAAAZAAAAAAAAAB/f38ACgAAAA=="/>
                      </a:ext>
                    </a:extLst>
                  </pic:cNvPicPr>
                </pic:nvPicPr>
                <pic:blipFill>
                  <a:blip r:embed="rId1"/>
                  <a:stretch>
                    <a:fillRect/>
                  </a:stretch>
                </pic:blipFill>
                <pic:spPr>
                  <a:xfrm>
                    <a:off x="0" y="0"/>
                    <a:ext cx="6845300" cy="1903095"/>
                  </a:xfrm>
                  <a:prstGeom prst="rect">
                    <a:avLst/>
                  </a:prstGeom>
                  <a:noFill/>
                  <a:ln w="12700">
                    <a:noFill/>
                  </a:ln>
                </pic:spPr>
              </pic:pic>
            </a:graphicData>
          </a:graphic>
        </wp:anchor>
      </w:drawing>
    </w:r>
    <w:r/>
  </w:p>
  <w:p>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view w:val="print"/>
  <w:defaultTabStop w:val="708"/>
  <w:autoHyphenation w:val="0"/>
  <w:doNotShadeFormData w:val="1"/>
  <w:captions>
    <w:caption w:name="Таблица" w:pos="below" w:numFmt="decimal"/>
    <w:caption w:name="Иллюстрация" w:pos="below" w:numFmt="decimal"/>
    <w:caption w:name="Картинка" w:pos="below" w:numFmt="decimal"/>
  </w:captions>
  <w:drawingGridHorizontalSpacing w:val="18546688"/>
  <w:drawingGridVerticalSpacing w:val="18546688"/>
  <w:revisionView w:comments="1" w:markup="1" w:insDel="1" w:formatting="1"/>
  <w:footnotePr>
    <w:numRestart w:val="continuous"/>
    <w:pos w:val="pageBottom"/>
    <w:numFmt w:val="decimal"/>
    <w:numStart w:val="1"/>
  </w:footnotePr>
  <w:compat>
    <w:usePrinterMetrics w:val="1"/>
  </w:compat>
  <w:shapeDefaults>
    <o:shapedefaults v:ext="edit" spidmax="3073"/>
    <o:shapelayout v:ext="edit">
      <o:rules v:ext="edit"/>
    </o:shapelayout>
  </w:shapeDefaults>
  <w:tmPrefOne w:val="16"/>
  <w:tmPrefTwo w:val="1"/>
  <w:tmFmtPref w:val="55065963"/>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1"/>
  </w:tmReviewPr>
  <w:tmLastPos>
    <w:tmLastPosPage w:val="2"/>
    <w:tmLastPosSelect w:val="0"/>
    <w:tmLastPosFrameIdx w:val="0"/>
    <w:tmLastPosCaret>
      <w:tmLastPosPgfIdx w:val="31"/>
      <w:tmLastPosIdx w:val="137"/>
    </w:tmLastPosCaret>
    <w:tmLastPosAnchor>
      <w:tmLastPosPgfIdx w:val="0"/>
      <w:tmLastPosIdx w:val="0"/>
    </w:tmLastPosAnchor>
    <w:tmLastPosTblRect w:left="0" w:top="0" w:right="0" w:bottom="0"/>
    <w:tmAppRevision w:date="1449762887" w:val="670"/>
  </w:tmLastPo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ru-ru" w:eastAsia="zh-cn" w:bidi="ar-sa"/>
      </w:rPr>
    </w:rPrDefault>
    <w:pPrDefault>
      <w:pPr>
        <w:spacing w:after="160" w:line="259"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pPr>
      <w:spacing w:after="0" w:line="240" w:lineRule="auto"/>
      <w:tabs>
        <w:tab w:val="center" w:pos="4677" w:leader="none"/>
        <w:tab w:val="right" w:pos="9355" w:leader="none"/>
      </w:tabs>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Footer"/>
    <w:qFormat/>
    <w:pPr>
      <w:spacing w:after="0" w:line="240" w:lineRule="auto"/>
      <w:tabs>
        <w:tab w:val="center" w:pos="4677" w:leader="none"/>
        <w:tab w:val="right" w:pos="9355" w:leader="none"/>
      </w:tabs>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Body Text"/>
    <w:qFormat/>
    <w:pPr>
      <w:spacing w:after="0" w:line="240" w:lineRule="auto"/>
      <w:jc w:val="both"/>
      <w:pBdr>
        <w:top w:val="none" w:sz="0" w:space="3" w:color="000000"/>
        <w:left w:val="none" w:sz="0" w:space="3" w:color="000000"/>
        <w:bottom w:val="none" w:sz="0" w:space="3" w:color="000000"/>
        <w:right w:val="none" w:sz="0" w:space="3" w:color="000000"/>
        <w:between w:val="none" w:sz="0" w:space="0" w:color="000000"/>
      </w:pBdr>
      <w:shd w:val="none"/>
    </w:pPr>
    <w:rPr>
      <w:rFonts w:ascii="Times New Roman" w:hAnsi="Times New Roman" w:eastAsia="Times New Roman"/>
      <w:sz w:val="24"/>
      <w:szCs w:val="24"/>
      <w:lang w:val="uk-ua"/>
    </w:rPr>
  </w:style>
  <w:style w:type="paragraph" w:styleId="">
    <w:name w:val="List Paragraph"/>
    <w:qFormat/>
    <w:basedOn w:val=""/>
    <w:pPr>
      <w:ind w:left="720"/>
      <w:spacing w:after="0" w:line="240" w:lineRule="auto"/>
      <w:contextualSpacing/>
    </w:pPr>
    <w:rPr>
      <w:rFonts w:ascii="Times New Roman" w:hAnsi="Times New Roman" w:eastAsia="Times New Roman"/>
      <w:sz w:val="24"/>
      <w:szCs w:val="24"/>
      <w:lang w:val="uk-ua" w:eastAsia="uk-ua"/>
    </w:rPr>
  </w:style>
  <w:style w:type="character" w:styleId="" w:default="1">
    <w:name w:val="Default Paragraph Font"/>
  </w:style>
  <w:style w:type="character" w:styleId="" w:customStyle="1">
    <w:name w:val="Верхний колонтитул Знак"/>
  </w:style>
  <w:style w:type="character" w:styleId="" w:customStyle="1">
    <w:name w:val="Нижний колонтитул Знак"/>
  </w:style>
  <w:style w:type="character" w:styleId="">
    <w:name w:val="Hyperlink"/>
    <w:basedOn w:val=""/>
    <w:rPr>
      <w:color w:val="0000ff"/>
      <w:u w:color="auto" w:val="single"/>
    </w:rPr>
  </w:style>
  <w:style w:type="character" w:styleId="">
    <w:name w:val="Strong"/>
    <w:basedOn w:val=""/>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sz w:val="22"/>
        <w:szCs w:val="22"/>
        <w:lang w:val="ru-ru" w:eastAsia="zh-cn" w:bidi="ar-sa"/>
      </w:rPr>
    </w:rPrDefault>
    <w:pPrDefault>
      <w:pPr>
        <w:spacing w:after="160" w:line="259" w:lineRule="auto"/>
        <w:pBdr>
          <w:top w:val="none" w:sz="0" w:space="0" w:color="000000"/>
          <w:left w:val="none" w:sz="0" w:space="0" w:color="000000"/>
          <w:bottom w:val="none" w:sz="0" w:space="0" w:color="000000"/>
          <w:right w:val="none" w:sz="0" w:space="0" w:color="000000"/>
          <w:between w:val="none" w:sz="0" w:space="0" w:color="000000"/>
        </w:pBdr>
        <w:shd w:val="no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Header"/>
    <w:qFormat/>
    <w:pPr>
      <w:spacing w:after="0" w:line="240" w:lineRule="auto"/>
      <w:tabs>
        <w:tab w:val="center" w:pos="4677" w:leader="none"/>
        <w:tab w:val="right" w:pos="9355" w:leader="none"/>
      </w:tabs>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Footer"/>
    <w:qFormat/>
    <w:pPr>
      <w:spacing w:after="0" w:line="240" w:lineRule="auto"/>
      <w:tabs>
        <w:tab w:val="center" w:pos="4677" w:leader="none"/>
        <w:tab w:val="right" w:pos="9355" w:leader="none"/>
      </w:tabs>
      <w:pBdr>
        <w:top w:val="none" w:sz="0" w:space="3" w:color="000000"/>
        <w:left w:val="none" w:sz="0" w:space="3" w:color="000000"/>
        <w:bottom w:val="none" w:sz="0" w:space="3" w:color="000000"/>
        <w:right w:val="none" w:sz="0" w:space="3" w:color="000000"/>
        <w:between w:val="none" w:sz="0" w:space="0" w:color="000000"/>
      </w:pBdr>
      <w:shd w:val="none"/>
    </w:pPr>
  </w:style>
  <w:style w:type="paragraph" w:styleId="">
    <w:name w:val="Body Text"/>
    <w:qFormat/>
    <w:pPr>
      <w:spacing w:after="0" w:line="240" w:lineRule="auto"/>
      <w:jc w:val="both"/>
      <w:pBdr>
        <w:top w:val="none" w:sz="0" w:space="3" w:color="000000"/>
        <w:left w:val="none" w:sz="0" w:space="3" w:color="000000"/>
        <w:bottom w:val="none" w:sz="0" w:space="3" w:color="000000"/>
        <w:right w:val="none" w:sz="0" w:space="3" w:color="000000"/>
        <w:between w:val="none" w:sz="0" w:space="0" w:color="000000"/>
      </w:pBdr>
      <w:shd w:val="none"/>
    </w:pPr>
    <w:rPr>
      <w:rFonts w:ascii="Times New Roman" w:hAnsi="Times New Roman" w:eastAsia="Times New Roman"/>
      <w:sz w:val="24"/>
      <w:szCs w:val="24"/>
      <w:lang w:val="uk-ua"/>
    </w:rPr>
  </w:style>
  <w:style w:type="paragraph" w:styleId="">
    <w:name w:val="List Paragraph"/>
    <w:qFormat/>
    <w:basedOn w:val=""/>
    <w:pPr>
      <w:ind w:left="720"/>
      <w:spacing w:after="0" w:line="240" w:lineRule="auto"/>
      <w:contextualSpacing/>
    </w:pPr>
    <w:rPr>
      <w:rFonts w:ascii="Times New Roman" w:hAnsi="Times New Roman" w:eastAsia="Times New Roman"/>
      <w:sz w:val="24"/>
      <w:szCs w:val="24"/>
      <w:lang w:val="uk-ua" w:eastAsia="uk-ua"/>
    </w:rPr>
  </w:style>
  <w:style w:type="character" w:styleId="" w:default="1">
    <w:name w:val="Default Paragraph Font"/>
  </w:style>
  <w:style w:type="character" w:styleId="" w:customStyle="1">
    <w:name w:val="Верхний колонтитул Знак"/>
  </w:style>
  <w:style w:type="character" w:styleId="" w:customStyle="1">
    <w:name w:val="Нижний колонтитул Знак"/>
  </w:style>
  <w:style w:type="character" w:styleId="">
    <w:name w:val="Hyperlink"/>
    <w:basedOn w:val=""/>
    <w:rPr>
      <w:color w:val="0000ff"/>
      <w:u w:color="auto" w:val="single"/>
    </w:rPr>
  </w:style>
  <w:style w:type="character" w:styleId="">
    <w:name w:val="Strong"/>
    <w:basedOn w:val=""/>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image" Target="media/image1.jpeg"/><Relationship Id="rId8" Type="http://schemas.openxmlformats.org/officeDocument/2006/relationships/hyperlink" Target="mailto:competition@ligauba.org.ua" TargetMode="External"/><Relationship Id="rId9" Type="http://schemas.openxmlformats.org/officeDocument/2006/relationships/hyperlink" Target="http://www.ligauba.org.ua" TargetMode="External"/><Relationship Id="rId10" Type="http://schemas.openxmlformats.org/officeDocument/2006/relationships/hyperlink" Target="http://arbitration.kiev.ua"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image" Target="media/image3.png"/></Relationships>
</file>

<file path=word/_rels/header1.xml.rels><?xml version="1.0" encoding="UTF-8" standalone="yes" ?>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2012 rev.670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Gluschenko</dc:creator>
  <cp:keywords/>
  <dc:description/>
  <cp:lastModifiedBy/>
  <cp:revision>5</cp:revision>
  <dcterms:created xsi:type="dcterms:W3CDTF">2015-11-04T09:35:00Z</dcterms:created>
  <dcterms:modified xsi:type="dcterms:W3CDTF">2015-12-10T17:54:47Z</dcterms:modified>
</cp:coreProperties>
</file>